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hint="eastAsia" w:ascii="Arial" w:hAnsi="Arial" w:cs="Arial"/>
          <w:b/>
          <w:bCs/>
        </w:rPr>
        <w:t xml:space="preserve"> Meeting </w:t>
      </w:r>
      <w:r>
        <w:rPr>
          <w:rFonts w:hint="eastAsia" w:ascii="Arial" w:hAnsi="Arial" w:cs="Arial"/>
          <w:b/>
          <w:bCs/>
          <w:lang w:val="en-US" w:eastAsia="zh-CN"/>
        </w:rPr>
        <w:t>#91</w:t>
      </w:r>
      <w:r>
        <w:rPr>
          <w:rFonts w:ascii="Arial" w:hAnsi="Arial" w:cs="Arial"/>
          <w:b/>
          <w:bCs/>
        </w:rPr>
        <w:t xml:space="preserve">                    </w:t>
      </w:r>
      <w:r>
        <w:rPr>
          <w:rFonts w:hint="eastAsia" w:ascii="Arial" w:hAnsi="Arial" w:cs="Arial"/>
          <w:b/>
          <w:bCs/>
        </w:rPr>
        <w:t xml:space="preserve">             </w:t>
      </w:r>
      <w:r>
        <w:rPr>
          <w:rFonts w:ascii="Arial" w:hAnsi="Arial" w:cs="Arial"/>
          <w:b/>
          <w:bCs/>
        </w:rPr>
        <w:t xml:space="preserve">                            </w:t>
      </w:r>
      <w:r>
        <w:rPr>
          <w:rFonts w:hint="eastAsia" w:ascii="Arial" w:hAnsi="Arial" w:cs="Arial"/>
          <w:b/>
          <w:bCs/>
        </w:rPr>
        <w:t xml:space="preserve"> </w:t>
      </w:r>
      <w:r>
        <w:rPr>
          <w:rFonts w:ascii="Arial" w:hAnsi="Arial" w:cs="Arial"/>
          <w:b/>
          <w:bCs/>
        </w:rPr>
        <w:t xml:space="preserve">        R1-1</w:t>
      </w:r>
      <w:r>
        <w:rPr>
          <w:rFonts w:hint="eastAsia" w:ascii="Arial" w:hAnsi="Arial" w:cs="Arial"/>
          <w:b/>
          <w:bCs/>
        </w:rPr>
        <w:t>71</w:t>
      </w:r>
      <w:r>
        <w:rPr>
          <w:rFonts w:hint="eastAsia" w:ascii="Arial" w:hAnsi="Arial" w:cs="Arial"/>
          <w:b/>
          <w:bCs/>
          <w:lang w:val="en-US" w:eastAsia="zh-CN"/>
        </w:rPr>
        <w:t>9536</w:t>
      </w:r>
      <w:bookmarkStart w:id="1" w:name="_GoBack"/>
      <w:bookmarkEnd w:id="1"/>
    </w:p>
    <w:p>
      <w:pPr>
        <w:pStyle w:val="15"/>
        <w:spacing w:after="240"/>
        <w:rPr>
          <w:rFonts w:eastAsia="宋体" w:cs="Arial"/>
          <w:bCs/>
          <w:sz w:val="22"/>
          <w:szCs w:val="22"/>
          <w:lang w:eastAsia="zh-CN"/>
        </w:rPr>
      </w:pPr>
      <w:r>
        <w:rPr>
          <w:rFonts w:hint="eastAsia" w:eastAsia="宋体" w:cs="Arial"/>
          <w:bCs/>
          <w:sz w:val="22"/>
          <w:szCs w:val="22"/>
          <w:lang w:val="en-US" w:eastAsia="zh-CN"/>
        </w:rPr>
        <w:t>Reno</w:t>
      </w:r>
      <w:r>
        <w:rPr>
          <w:rFonts w:eastAsia="宋体" w:cs="Arial"/>
          <w:bCs/>
          <w:sz w:val="22"/>
          <w:szCs w:val="22"/>
          <w:lang w:eastAsia="zh-CN"/>
        </w:rPr>
        <w:t xml:space="preserve">, </w:t>
      </w:r>
      <w:r>
        <w:rPr>
          <w:rFonts w:hint="eastAsia" w:eastAsia="宋体" w:cs="Arial"/>
          <w:bCs/>
          <w:sz w:val="22"/>
          <w:szCs w:val="22"/>
          <w:lang w:val="en-US" w:eastAsia="zh-CN"/>
        </w:rPr>
        <w:t>USA</w:t>
      </w:r>
      <w:r>
        <w:rPr>
          <w:rFonts w:eastAsia="宋体" w:cs="Arial"/>
          <w:bCs/>
          <w:sz w:val="22"/>
          <w:szCs w:val="22"/>
          <w:lang w:eastAsia="zh-CN"/>
        </w:rPr>
        <w:t>, November 27th – December 1st, 2017</w:t>
      </w:r>
    </w:p>
    <w:p>
      <w:pPr>
        <w:pStyle w:val="15"/>
        <w:tabs>
          <w:tab w:val="left" w:pos="1805"/>
          <w:tab w:val="clear" w:pos="4536"/>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r>
      <w:r>
        <w:rPr>
          <w:rFonts w:eastAsia="宋体" w:cs="Arial"/>
          <w:bCs/>
          <w:sz w:val="22"/>
          <w:szCs w:val="22"/>
          <w:lang w:eastAsia="zh-CN"/>
        </w:rPr>
        <w:t>ZTE</w:t>
      </w:r>
      <w:r>
        <w:rPr>
          <w:rFonts w:hint="eastAsia" w:eastAsia="宋体" w:cs="Arial"/>
          <w:bCs/>
          <w:sz w:val="22"/>
          <w:szCs w:val="22"/>
          <w:lang w:eastAsia="zh-CN"/>
        </w:rPr>
        <w:t>, Sanechips</w:t>
      </w:r>
    </w:p>
    <w:p>
      <w:pPr>
        <w:pStyle w:val="15"/>
        <w:tabs>
          <w:tab w:val="left" w:pos="1800"/>
        </w:tabs>
        <w:ind w:left="1833" w:hanging="1833"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hint="eastAsia" w:eastAsia="宋体" w:cs="Arial"/>
          <w:bCs/>
          <w:sz w:val="22"/>
          <w:szCs w:val="22"/>
          <w:lang w:eastAsia="zh-CN"/>
        </w:rPr>
        <w:t>Enhancements on CSI framework</w:t>
      </w:r>
    </w:p>
    <w:p>
      <w:pPr>
        <w:pStyle w:val="15"/>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val="en-US" w:eastAsia="zh-CN"/>
        </w:rPr>
        <w:t>7</w:t>
      </w:r>
      <w:r>
        <w:rPr>
          <w:rFonts w:hint="eastAsia" w:eastAsia="宋体" w:cs="Arial"/>
          <w:bCs/>
          <w:sz w:val="22"/>
          <w:szCs w:val="22"/>
          <w:lang w:eastAsia="zh-CN"/>
        </w:rPr>
        <w:t>.2.2.6</w:t>
      </w:r>
    </w:p>
    <w:p>
      <w:pPr>
        <w:pBdr>
          <w:bottom w:val="single" w:color="auto" w:sz="6" w:space="1"/>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pPr>
        <w:spacing w:after="0" w:line="240" w:lineRule="auto"/>
        <w:jc w:val="both"/>
        <w:rPr>
          <w:rFonts w:hint="eastAsia" w:ascii="Times New Roman" w:hAnsi="宋体" w:eastAsia="宋体"/>
          <w:sz w:val="20"/>
          <w:szCs w:val="20"/>
          <w:lang w:val="en-US" w:eastAsia="zh-CN"/>
        </w:rPr>
      </w:pPr>
      <w:r>
        <w:rPr>
          <w:rFonts w:hint="eastAsia" w:ascii="Times New Roman" w:hAnsi="宋体"/>
          <w:sz w:val="20"/>
          <w:szCs w:val="20"/>
          <w:lang w:val="en-US" w:eastAsia="zh-CN"/>
        </w:rPr>
        <w:t>This is a re-submission of R1-1715443.</w:t>
      </w:r>
    </w:p>
    <w:p>
      <w:pPr>
        <w:spacing w:after="0" w:line="240" w:lineRule="auto"/>
        <w:jc w:val="both"/>
        <w:rPr>
          <w:rFonts w:ascii="Times New Roman" w:hAnsi="宋体"/>
          <w:sz w:val="20"/>
          <w:szCs w:val="20"/>
        </w:rPr>
      </w:pPr>
      <w:r>
        <w:rPr>
          <w:rFonts w:ascii="Times New Roman" w:hAnsi="宋体"/>
          <w:sz w:val="20"/>
          <w:szCs w:val="20"/>
        </w:rPr>
        <w:t xml:space="preserve">In </w:t>
      </w:r>
      <w:r>
        <w:rPr>
          <w:rFonts w:hint="eastAsia" w:ascii="Times New Roman" w:hAnsi="宋体"/>
          <w:sz w:val="20"/>
          <w:szCs w:val="20"/>
        </w:rPr>
        <w:t xml:space="preserve">NR </w:t>
      </w:r>
      <w:r>
        <w:rPr>
          <w:rFonts w:ascii="Times New Roman" w:hAnsi="宋体"/>
          <w:sz w:val="20"/>
          <w:szCs w:val="20"/>
        </w:rPr>
        <w:t xml:space="preserve">RAN1 </w:t>
      </w:r>
      <w:r>
        <w:rPr>
          <w:rFonts w:hint="eastAsia" w:ascii="Times New Roman" w:hAnsi="宋体"/>
          <w:sz w:val="20"/>
          <w:szCs w:val="20"/>
        </w:rPr>
        <w:t>AdHoc</w:t>
      </w:r>
      <w:r>
        <w:rPr>
          <w:rFonts w:ascii="Times New Roman" w:hAnsi="宋体"/>
          <w:sz w:val="20"/>
          <w:szCs w:val="20"/>
        </w:rPr>
        <w:t>#1</w:t>
      </w:r>
      <w:r>
        <w:rPr>
          <w:rFonts w:hint="eastAsia" w:ascii="Times New Roman" w:hAnsi="宋体"/>
          <w:sz w:val="20"/>
          <w:szCs w:val="20"/>
        </w:rPr>
        <w:t xml:space="preserve"> meeting, the following agreement is achieved on CSI framework [1].</w:t>
      </w:r>
    </w:p>
    <w:p>
      <w:pPr>
        <w:spacing w:after="0"/>
        <w:jc w:val="both"/>
        <w:outlineLvl w:val="0"/>
        <w:rPr>
          <w:rFonts w:ascii="Times New Roman" w:hAnsi="Times New Roman" w:eastAsia="MS Mincho"/>
          <w:i/>
          <w:sz w:val="20"/>
          <w:lang w:eastAsia="ja-JP"/>
        </w:rPr>
      </w:pPr>
      <w:r>
        <w:rPr>
          <w:rFonts w:hint="eastAsia" w:ascii="Times New Roman" w:hAnsi="Times New Roman" w:eastAsiaTheme="minorEastAsia"/>
          <w:b/>
          <w:i/>
          <w:sz w:val="20"/>
          <w:u w:val="single"/>
        </w:rPr>
        <w:t>Agreement</w:t>
      </w:r>
      <w:r>
        <w:rPr>
          <w:rFonts w:ascii="Times New Roman" w:hAnsi="Times New Roman" w:eastAsia="MS Mincho"/>
          <w:b/>
          <w:i/>
          <w:sz w:val="20"/>
          <w:u w:val="single"/>
          <w:lang w:eastAsia="ja-JP"/>
        </w:rPr>
        <w:t>:</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Refine the agreement on RS and IM settings as follows:</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“RS setting” is renamed as “Resource setting”, comprising configuration for signal for channel and/or interference measurement</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Remove “IM setting”</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Terminology clarification</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A UE can be configured with N≥1 CSI reporting settings, M≥1 Resource settings, and 1 CSI measurement setting, where the CSI measurement setting includes L ≥1 links</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Each of the L links corresponds to a CSI reporting setting and a Resource setting</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u w:val="single"/>
          <w:lang w:eastAsia="ja-JP"/>
        </w:rPr>
        <w:t xml:space="preserve">At least the following </w:t>
      </w:r>
      <w:r>
        <w:rPr>
          <w:rFonts w:ascii="Times New Roman" w:hAnsi="Times New Roman" w:eastAsia="MS Mincho"/>
          <w:i/>
          <w:sz w:val="20"/>
          <w:lang w:eastAsia="ja-JP"/>
        </w:rPr>
        <w:t xml:space="preserve">configuration parameters are signaled via RRC at least for CSI acquisition: </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N, M, and L – indicated either implicitly or explicitly</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 xml:space="preserve">In each Resource setting: </w:t>
      </w:r>
    </w:p>
    <w:p>
      <w:pPr>
        <w:numPr>
          <w:ilvl w:val="2"/>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 xml:space="preserve">A configuration of S≥1 CSI-RS resource set(s) </w:t>
      </w:r>
    </w:p>
    <w:p>
      <w:pPr>
        <w:numPr>
          <w:ilvl w:val="3"/>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Note: each set corresponds to different selections from a “pool” of all configured CSI-RS resources to the UE</w:t>
      </w:r>
    </w:p>
    <w:p>
      <w:pPr>
        <w:numPr>
          <w:ilvl w:val="2"/>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A configuration of K</w:t>
      </w:r>
      <w:r>
        <w:rPr>
          <w:rFonts w:ascii="Times New Roman" w:hAnsi="Times New Roman" w:eastAsia="MS Mincho"/>
          <w:i/>
          <w:sz w:val="20"/>
          <w:vertAlign w:val="subscript"/>
          <w:lang w:eastAsia="ja-JP"/>
        </w:rPr>
        <w:t>s</w:t>
      </w:r>
      <w:r>
        <w:rPr>
          <w:rFonts w:ascii="Times New Roman" w:hAnsi="Times New Roman" w:eastAsia="MS Mincho"/>
          <w:i/>
          <w:sz w:val="20"/>
          <w:lang w:eastAsia="ja-JP"/>
        </w:rPr>
        <w:t xml:space="preserve"> ≥1 CSI-RS resources for each set s, including at least: mapping to REs, the number of ports, time-domain behavior, </w:t>
      </w:r>
      <w:r>
        <w:rPr>
          <w:rFonts w:hint="eastAsia" w:ascii="Times New Roman" w:hAnsi="Times New Roman" w:eastAsia="MS Mincho"/>
          <w:i/>
          <w:sz w:val="20"/>
          <w:lang w:eastAsia="ja-JP"/>
        </w:rPr>
        <w:t>etc.</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In each of the L links in CSI measurement setting: CSI reporting setting indication, Resource setting indication, quantity to be measured (either channel or interference)</w:t>
      </w:r>
    </w:p>
    <w:p>
      <w:pPr>
        <w:numPr>
          <w:ilvl w:val="2"/>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One CSI reporting setting can be linked with one or multiple Resource settings</w:t>
      </w:r>
    </w:p>
    <w:p>
      <w:pPr>
        <w:numPr>
          <w:ilvl w:val="2"/>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Multiple CSI reporting settings can be linked with the same Resource setting</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u w:val="single"/>
          <w:lang w:eastAsia="ja-JP"/>
        </w:rPr>
        <w:t>At least following</w:t>
      </w:r>
      <w:r>
        <w:rPr>
          <w:rFonts w:hint="eastAsia" w:ascii="Times New Roman" w:hAnsi="Times New Roman" w:eastAsia="MS Mincho"/>
          <w:i/>
          <w:sz w:val="20"/>
          <w:lang w:eastAsia="ja-JP"/>
        </w:rPr>
        <w:t xml:space="preserve"> a</w:t>
      </w:r>
      <w:r>
        <w:rPr>
          <w:rFonts w:ascii="Times New Roman" w:hAnsi="Times New Roman" w:eastAsia="MS Mincho"/>
          <w:i/>
          <w:sz w:val="20"/>
          <w:lang w:eastAsia="ja-JP"/>
        </w:rPr>
        <w:t>re dynamically selected by L1 or L2 signaling</w:t>
      </w:r>
      <w:r>
        <w:rPr>
          <w:rFonts w:hint="eastAsia" w:ascii="Times New Roman" w:hAnsi="Times New Roman" w:eastAsia="MS Mincho"/>
          <w:i/>
          <w:sz w:val="20"/>
          <w:lang w:eastAsia="ja-JP"/>
        </w:rPr>
        <w:t>, if appilicable</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One or multiple CSI reporting settings within the CSI measurement setting</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One or multiple CSI-RS resource sets selected from at least one Resource setting</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One or multiple CSI-RS resources selected from at least one CSI-RS resource set</w:t>
      </w:r>
    </w:p>
    <w:p>
      <w:pPr>
        <w:numPr>
          <w:ilvl w:val="0"/>
          <w:numId w:val="8"/>
        </w:numPr>
        <w:adjustRightInd w:val="0"/>
        <w:snapToGrid w:val="0"/>
        <w:spacing w:line="240" w:lineRule="auto"/>
        <w:ind w:hanging="357"/>
        <w:jc w:val="both"/>
        <w:rPr>
          <w:rFonts w:ascii="Times New Roman" w:hAnsi="Times New Roman" w:eastAsia="MS Mincho"/>
          <w:i/>
          <w:sz w:val="20"/>
          <w:lang w:eastAsia="ja-JP"/>
        </w:rPr>
      </w:pPr>
      <w:r>
        <w:rPr>
          <w:rFonts w:hint="eastAsia" w:ascii="Times New Roman" w:hAnsi="Times New Roman" w:eastAsia="MS Mincho"/>
          <w:i/>
          <w:sz w:val="20"/>
          <w:lang w:eastAsia="ja-JP"/>
        </w:rPr>
        <w:t>FFS until the next meeting about details of dynamic triggering</w:t>
      </w:r>
    </w:p>
    <w:p>
      <w:pPr>
        <w:spacing w:after="0" w:line="240" w:lineRule="auto"/>
        <w:jc w:val="both"/>
        <w:rPr>
          <w:rFonts w:ascii="Times New Roman" w:hAnsi="宋体"/>
          <w:sz w:val="20"/>
          <w:szCs w:val="20"/>
        </w:rPr>
      </w:pPr>
      <w:r>
        <w:rPr>
          <w:rFonts w:hint="eastAsia" w:ascii="Times New Roman" w:hAnsi="宋体"/>
          <w:sz w:val="20"/>
          <w:szCs w:val="20"/>
        </w:rPr>
        <w:t>The following agreement is achieved on CSI-RS and CSI report timing in June NR Ad Hoc meeting [6].</w:t>
      </w:r>
    </w:p>
    <w:p>
      <w:pPr>
        <w:spacing w:after="0"/>
        <w:jc w:val="both"/>
        <w:outlineLvl w:val="0"/>
        <w:rPr>
          <w:rFonts w:ascii="Times New Roman" w:hAnsi="Times New Roman" w:eastAsiaTheme="minorEastAsia"/>
          <w:b/>
          <w:i/>
          <w:sz w:val="20"/>
          <w:szCs w:val="20"/>
          <w:u w:val="single"/>
        </w:rPr>
      </w:pPr>
      <w:r>
        <w:rPr>
          <w:rFonts w:ascii="Times New Roman" w:hAnsi="Times New Roman" w:eastAsiaTheme="minorEastAsia"/>
          <w:b/>
          <w:i/>
          <w:sz w:val="20"/>
          <w:szCs w:val="20"/>
          <w:u w:val="single"/>
        </w:rPr>
        <w:t>Agreements:</w:t>
      </w:r>
    </w:p>
    <w:p>
      <w:pPr>
        <w:pStyle w:val="85"/>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For aperiodic CSI-RS triggering offset X, X is fixed to zero. </w:t>
      </w:r>
    </w:p>
    <w:p>
      <w:pPr>
        <w:pStyle w:val="85"/>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For aperiodic CSI reporting on PUSCH, Y is indicated by DCI.</w:t>
      </w:r>
    </w:p>
    <w:p>
      <w:pPr>
        <w:pStyle w:val="85"/>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DCI to be used for indicating the timing for PUSCH is also used to indicate Y.</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This applies to both UCI only and UCI+Data PUSCH</w:t>
      </w:r>
    </w:p>
    <w:p>
      <w:pPr>
        <w:pStyle w:val="85"/>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set of values is configured by higher layer</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candidate set of values of Y is selected according to restricted conditions inferred from configuration of CSI related settings.</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condition include at least;</w:t>
      </w:r>
    </w:p>
    <w:p>
      <w:pPr>
        <w:pStyle w:val="85"/>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 parameter</w:t>
      </w:r>
    </w:p>
    <w:p>
      <w:pPr>
        <w:pStyle w:val="85"/>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Number of CSI-RS antenna ports if PMI is included</w:t>
      </w:r>
    </w:p>
    <w:p>
      <w:pPr>
        <w:pStyle w:val="85"/>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CSI-RS location</w:t>
      </w:r>
    </w:p>
    <w:p>
      <w:pPr>
        <w:pStyle w:val="85"/>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Frequency granularity of CSI</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number of simultaneous CSI calculations</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on mechanisms to relax CSI report timing according to number of simultaneous CSI calculations</w:t>
      </w:r>
    </w:p>
    <w:p>
      <w:pPr>
        <w:pStyle w:val="85"/>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different or same candidate Y value for the cases of UCI multiplexed with data and UCI only </w:t>
      </w:r>
    </w:p>
    <w:p>
      <w:pPr>
        <w:spacing w:after="0" w:line="240" w:lineRule="auto"/>
        <w:jc w:val="both"/>
        <w:rPr>
          <w:rFonts w:ascii="Times New Roman" w:hAnsi="宋体"/>
          <w:sz w:val="20"/>
          <w:szCs w:val="20"/>
        </w:rPr>
      </w:pPr>
      <w:r>
        <w:rPr>
          <w:rFonts w:hint="eastAsia" w:ascii="Times New Roman" w:hAnsi="宋体"/>
          <w:sz w:val="20"/>
          <w:szCs w:val="20"/>
        </w:rPr>
        <w:t>Moreover, in RAN1#88, two further agreements are made on report setting and hybrid CSI [2]</w:t>
      </w:r>
    </w:p>
    <w:p>
      <w:pPr>
        <w:spacing w:after="0"/>
        <w:jc w:val="both"/>
        <w:outlineLvl w:val="0"/>
        <w:rPr>
          <w:rFonts w:ascii="Times New Roman" w:hAnsi="Times New Roman" w:eastAsiaTheme="minorEastAsia"/>
          <w:b/>
          <w:i/>
          <w:sz w:val="20"/>
          <w:u w:val="single"/>
        </w:rPr>
      </w:pPr>
      <w:r>
        <w:rPr>
          <w:rFonts w:hint="eastAsia" w:ascii="Times New Roman" w:hAnsi="Times New Roman" w:eastAsiaTheme="minorEastAsia"/>
          <w:b/>
          <w:i/>
          <w:sz w:val="20"/>
          <w:u w:val="single"/>
        </w:rPr>
        <w:t>Agreement</w:t>
      </w:r>
      <w:r>
        <w:rPr>
          <w:rFonts w:ascii="Times New Roman" w:hAnsi="Times New Roman" w:eastAsiaTheme="minorEastAsia"/>
          <w:b/>
          <w:i/>
          <w:sz w:val="20"/>
          <w:u w:val="single"/>
        </w:rPr>
        <w:t>:</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Define “CSI reporting band” as a collection of (contiguous or non-contiguous) subbands pertinent to a CSI reporting setting</w:t>
      </w:r>
    </w:p>
    <w:p>
      <w:pPr>
        <w:adjustRightInd w:val="0"/>
        <w:snapToGrid w:val="0"/>
        <w:spacing w:after="0" w:line="240" w:lineRule="auto"/>
        <w:ind w:left="1080"/>
        <w:jc w:val="both"/>
        <w:rPr>
          <w:rFonts w:ascii="Times New Roman" w:hAnsi="Times New Roman" w:eastAsia="MS Mincho"/>
          <w:i/>
          <w:sz w:val="20"/>
          <w:lang w:eastAsia="ja-JP"/>
        </w:rPr>
      </w:pPr>
      <w:r>
        <w:rPr>
          <w:rFonts w:ascii="Times New Roman" w:hAnsi="Times New Roman" w:eastAsia="MS Mincho"/>
          <w:i/>
          <w:sz w:val="20"/>
          <w:lang w:eastAsia="ja-JP"/>
        </w:rPr>
        <w:t>FFS how the CSI reporting band is determined</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Three frequency granularities are supported:</w:t>
      </w:r>
    </w:p>
    <w:p>
      <w:pPr>
        <w:adjustRightInd w:val="0"/>
        <w:snapToGrid w:val="0"/>
        <w:spacing w:after="0" w:line="240" w:lineRule="auto"/>
        <w:ind w:left="1080"/>
        <w:jc w:val="both"/>
        <w:rPr>
          <w:rFonts w:ascii="Times New Roman" w:hAnsi="Times New Roman" w:eastAsia="MS Mincho"/>
          <w:i/>
          <w:sz w:val="20"/>
          <w:lang w:eastAsia="ja-JP"/>
        </w:rPr>
      </w:pPr>
      <w:r>
        <w:rPr>
          <w:rFonts w:ascii="Times New Roman" w:hAnsi="Times New Roman" w:eastAsia="MS Mincho"/>
          <w:i/>
          <w:sz w:val="20"/>
          <w:lang w:eastAsia="ja-JP"/>
        </w:rPr>
        <w:t>Wideband reporting</w:t>
      </w:r>
    </w:p>
    <w:p>
      <w:pPr>
        <w:adjustRightInd w:val="0"/>
        <w:snapToGrid w:val="0"/>
        <w:spacing w:after="0" w:line="240" w:lineRule="auto"/>
        <w:ind w:left="1080"/>
        <w:jc w:val="both"/>
        <w:rPr>
          <w:rFonts w:ascii="Times New Roman" w:hAnsi="Times New Roman" w:eastAsia="MS Mincho"/>
          <w:i/>
          <w:sz w:val="20"/>
          <w:lang w:eastAsia="ja-JP"/>
        </w:rPr>
      </w:pPr>
      <w:r>
        <w:rPr>
          <w:rFonts w:ascii="Times New Roman" w:hAnsi="Times New Roman" w:eastAsia="MS Mincho"/>
          <w:i/>
          <w:sz w:val="20"/>
          <w:lang w:eastAsia="ja-JP"/>
        </w:rPr>
        <w:t>Partial band reporting</w:t>
      </w:r>
    </w:p>
    <w:p>
      <w:pPr>
        <w:adjustRightInd w:val="0"/>
        <w:snapToGrid w:val="0"/>
        <w:spacing w:after="0" w:line="240" w:lineRule="auto"/>
        <w:ind w:left="1080"/>
        <w:jc w:val="both"/>
        <w:rPr>
          <w:rFonts w:ascii="Times New Roman" w:hAnsi="Times New Roman" w:eastAsia="MS Mincho"/>
          <w:i/>
          <w:sz w:val="20"/>
          <w:lang w:eastAsia="ja-JP"/>
        </w:rPr>
      </w:pPr>
      <w:r>
        <w:rPr>
          <w:rFonts w:ascii="Times New Roman" w:hAnsi="Times New Roman" w:eastAsia="MS Mincho"/>
          <w:i/>
          <w:sz w:val="20"/>
          <w:lang w:eastAsia="ja-JP"/>
        </w:rPr>
        <w:t>Subband reporting</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At least some combination(s) of the CSI parameters (e.g., CRI, RI, PMI, CQI, etc.) can be configured to be omitted from reporting within a CSI reporting setting</w:t>
      </w:r>
    </w:p>
    <w:p>
      <w:pPr>
        <w:adjustRightInd w:val="0"/>
        <w:snapToGrid w:val="0"/>
        <w:spacing w:line="240" w:lineRule="auto"/>
        <w:ind w:left="1077"/>
        <w:jc w:val="both"/>
        <w:rPr>
          <w:rFonts w:ascii="Times New Roman" w:hAnsi="Times New Roman" w:eastAsia="MS Mincho"/>
          <w:i/>
          <w:sz w:val="20"/>
          <w:lang w:eastAsia="ja-JP"/>
        </w:rPr>
      </w:pPr>
      <w:r>
        <w:rPr>
          <w:rFonts w:ascii="Times New Roman" w:hAnsi="Times New Roman" w:eastAsia="MS Mincho"/>
          <w:i/>
          <w:sz w:val="20"/>
          <w:lang w:eastAsia="ja-JP"/>
        </w:rPr>
        <w:t>FFS details</w:t>
      </w:r>
    </w:p>
    <w:p>
      <w:pPr>
        <w:spacing w:after="0"/>
        <w:jc w:val="both"/>
        <w:outlineLvl w:val="0"/>
        <w:rPr>
          <w:rFonts w:ascii="Times New Roman" w:hAnsi="Times New Roman" w:eastAsiaTheme="minorEastAsia"/>
          <w:b/>
          <w:i/>
          <w:sz w:val="20"/>
          <w:u w:val="single"/>
        </w:rPr>
      </w:pPr>
      <w:r>
        <w:rPr>
          <w:rFonts w:hint="eastAsia" w:ascii="Times New Roman" w:hAnsi="Times New Roman" w:eastAsiaTheme="minorEastAsia"/>
          <w:b/>
          <w:i/>
          <w:sz w:val="20"/>
          <w:u w:val="single"/>
        </w:rPr>
        <w:t>Agreement:</w:t>
      </w:r>
    </w:p>
    <w:p>
      <w:pPr>
        <w:numPr>
          <w:ilvl w:val="0"/>
          <w:numId w:val="8"/>
        </w:numPr>
        <w:adjustRightInd w:val="0"/>
        <w:snapToGrid w:val="0"/>
        <w:spacing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In NR MIMO CSI framework, study aspects related to hybrid CSI reporting (e.g., long-term vs. short-term, joint vs. separate configuration in one reporting setting and/or one resource setting, etc.)</w:t>
      </w:r>
    </w:p>
    <w:p>
      <w:pPr>
        <w:snapToGrid w:val="0"/>
        <w:spacing w:after="0" w:line="240" w:lineRule="auto"/>
        <w:jc w:val="both"/>
        <w:rPr>
          <w:rFonts w:ascii="Times New Roman" w:hAnsi="宋体"/>
          <w:sz w:val="20"/>
          <w:szCs w:val="20"/>
        </w:rPr>
      </w:pPr>
      <w:r>
        <w:rPr>
          <w:rFonts w:hint="eastAsia" w:ascii="Times New Roman" w:hAnsi="宋体"/>
          <w:sz w:val="20"/>
          <w:szCs w:val="20"/>
        </w:rPr>
        <w:t xml:space="preserve">In [3], we have given a high-level description and some detailed proposals on the design concepts of multi-level and multi-component CSI acquisition for NR MIMO. In this contribution, we discuss more detailed design on signaling framework to support flexible CSI acquisition and beam management. </w:t>
      </w:r>
    </w:p>
    <w:p>
      <w:pPr>
        <w:numPr>
          <w:ilvl w:val="0"/>
          <w:numId w:val="7"/>
        </w:numPr>
        <w:spacing w:before="120" w:after="0" w:line="240" w:lineRule="auto"/>
        <w:ind w:left="357" w:hanging="357"/>
        <w:jc w:val="both"/>
        <w:rPr>
          <w:rFonts w:ascii="Times New Roman" w:hAnsi="Times New Roman"/>
          <w:b/>
          <w:sz w:val="24"/>
          <w:szCs w:val="24"/>
        </w:rPr>
      </w:pPr>
      <w:r>
        <w:rPr>
          <w:rFonts w:hint="eastAsia" w:ascii="Times New Roman" w:hAnsi="Times New Roman"/>
          <w:b/>
          <w:sz w:val="24"/>
          <w:szCs w:val="24"/>
        </w:rPr>
        <w:t>Signaling details for CSI acquisition</w:t>
      </w:r>
    </w:p>
    <w:p>
      <w:pPr>
        <w:snapToGrid w:val="0"/>
        <w:spacing w:after="0" w:line="240" w:lineRule="auto"/>
        <w:jc w:val="both"/>
        <w:rPr>
          <w:rFonts w:ascii="Times New Roman" w:hAnsi="宋体"/>
          <w:sz w:val="20"/>
          <w:szCs w:val="20"/>
          <w:lang w:val="en-GB"/>
        </w:rPr>
      </w:pPr>
      <w:r>
        <w:rPr>
          <w:rFonts w:hint="eastAsia" w:ascii="Times New Roman" w:hAnsi="宋体"/>
          <w:sz w:val="20"/>
          <w:szCs w:val="20"/>
          <w:lang w:val="en-GB"/>
        </w:rPr>
        <w:t xml:space="preserve">To support </w:t>
      </w:r>
      <w:r>
        <w:rPr>
          <w:rFonts w:hint="eastAsia" w:ascii="Times New Roman" w:hAnsi="宋体"/>
          <w:sz w:val="20"/>
          <w:szCs w:val="20"/>
        </w:rPr>
        <w:t>flexible CSI acquisition and beam management framework, signaling design is a key issue</w:t>
      </w:r>
      <w:r>
        <w:rPr>
          <w:rFonts w:hint="eastAsia" w:ascii="Times New Roman" w:hAnsi="宋体"/>
          <w:sz w:val="20"/>
          <w:szCs w:val="20"/>
          <w:lang w:val="en-GB"/>
        </w:rPr>
        <w:t xml:space="preserve">. In this subsection, we give some </w:t>
      </w:r>
      <w:r>
        <w:rPr>
          <w:rFonts w:ascii="Times New Roman" w:hAnsi="宋体"/>
          <w:sz w:val="20"/>
          <w:szCs w:val="20"/>
          <w:lang w:val="en-GB"/>
        </w:rPr>
        <w:t>specific</w:t>
      </w:r>
      <w:r>
        <w:rPr>
          <w:rFonts w:hint="eastAsia" w:ascii="Times New Roman" w:hAnsi="宋体"/>
          <w:sz w:val="20"/>
          <w:szCs w:val="20"/>
          <w:lang w:val="en-GB"/>
        </w:rPr>
        <w:t xml:space="preserve"> design on the configuration of CSI-RS resource settings and CSI report settings. </w:t>
      </w:r>
    </w:p>
    <w:p>
      <w:pPr>
        <w:snapToGrid w:val="0"/>
        <w:spacing w:before="120"/>
        <w:jc w:val="both"/>
        <w:rPr>
          <w:rFonts w:ascii="Times New Roman" w:hAnsi="宋体"/>
          <w:b/>
          <w:szCs w:val="20"/>
        </w:rPr>
      </w:pPr>
      <w:r>
        <w:rPr>
          <w:rFonts w:hint="eastAsia" w:ascii="Times New Roman" w:hAnsi="宋体"/>
          <w:b/>
          <w:szCs w:val="20"/>
        </w:rPr>
        <w:t>2.1 Report settings</w:t>
      </w:r>
    </w:p>
    <w:p>
      <w:pPr>
        <w:snapToGrid w:val="0"/>
        <w:spacing w:before="120"/>
        <w:jc w:val="both"/>
        <w:rPr>
          <w:rFonts w:ascii="Times New Roman" w:hAnsi="宋体"/>
          <w:b/>
          <w:sz w:val="20"/>
          <w:szCs w:val="20"/>
          <w:u w:val="single"/>
        </w:rPr>
      </w:pPr>
      <w:r>
        <w:rPr>
          <w:rFonts w:hint="eastAsia" w:ascii="Times New Roman" w:hAnsi="宋体"/>
          <w:b/>
          <w:sz w:val="20"/>
          <w:szCs w:val="20"/>
          <w:u w:val="single"/>
        </w:rPr>
        <w:t>CSI parameter ON/OFF and frequency granularity</w:t>
      </w:r>
    </w:p>
    <w:p>
      <w:pPr>
        <w:snapToGrid w:val="0"/>
        <w:spacing w:after="0" w:line="240" w:lineRule="auto"/>
        <w:jc w:val="both"/>
        <w:rPr>
          <w:rFonts w:ascii="Times New Roman" w:hAnsi="宋体"/>
          <w:sz w:val="20"/>
          <w:szCs w:val="20"/>
          <w:lang w:val="en-GB"/>
        </w:rPr>
      </w:pPr>
      <w:r>
        <w:rPr>
          <w:rFonts w:hint="eastAsia" w:ascii="Times New Roman" w:hAnsi="宋体"/>
          <w:sz w:val="20"/>
          <w:szCs w:val="20"/>
          <w:lang w:val="en-GB"/>
        </w:rPr>
        <w:t xml:space="preserve">In </w:t>
      </w:r>
      <w:r>
        <w:rPr>
          <w:rFonts w:ascii="Times New Roman" w:hAnsi="宋体"/>
          <w:sz w:val="20"/>
          <w:szCs w:val="20"/>
          <w:lang w:val="en-GB"/>
        </w:rPr>
        <w:t>RAN1#88</w:t>
      </w:r>
      <w:r>
        <w:rPr>
          <w:rFonts w:hint="eastAsia" w:ascii="Times New Roman" w:hAnsi="宋体"/>
          <w:sz w:val="20"/>
          <w:szCs w:val="20"/>
          <w:lang w:val="en-GB"/>
        </w:rPr>
        <w:t xml:space="preserve"> meeting, three different degrees of CSI frequency granularity are agreed including sub-band (SB), partial band (PB) and wideband (WB). Generally, SB can be regarded as the basic frequency component, whereas PB and </w:t>
      </w:r>
      <w:r>
        <w:rPr>
          <w:rFonts w:hint="eastAsia" w:ascii="Times New Roman" w:hAnsi="宋体"/>
          <w:sz w:val="20"/>
          <w:szCs w:val="20"/>
        </w:rPr>
        <w:t>W</w:t>
      </w:r>
      <w:r>
        <w:rPr>
          <w:rFonts w:hint="eastAsia" w:ascii="Times New Roman" w:hAnsi="宋体"/>
          <w:sz w:val="20"/>
          <w:szCs w:val="20"/>
          <w:lang w:val="en-GB"/>
        </w:rPr>
        <w:t xml:space="preserve">B are CSI reporting bands comprised of SBs. Moreover, it is also agreed to omit some reported parameters. As both Type I and Type II are supported in NR, numerous types of CSI parameters exist, including i11, i12, RPI, Type-I i2, Type-II i2 and so on. In LTE, report modes are pre-defined to jointly encode CSI content and frequency granularity. However, since different features may have different requirements of CSI parameter turn-off, e.g., semi-OL, hybrid CSI and so on, the legacy design is not scalable and flexible enough. In addition, considering </w:t>
      </w:r>
      <w:r>
        <w:rPr>
          <w:rFonts w:ascii="Times New Roman" w:hAnsi="宋体"/>
          <w:sz w:val="20"/>
          <w:szCs w:val="20"/>
          <w:lang w:val="en-GB"/>
        </w:rPr>
        <w:t>forward</w:t>
      </w:r>
      <w:r>
        <w:rPr>
          <w:rFonts w:hint="eastAsia" w:ascii="Times New Roman" w:hAnsi="宋体"/>
          <w:sz w:val="20"/>
          <w:szCs w:val="20"/>
          <w:lang w:val="en-GB"/>
        </w:rPr>
        <w:t xml:space="preserve"> compatibility, flexible parameter turn-off and frequency granularity needs to be supported. </w:t>
      </w:r>
    </w:p>
    <w:p>
      <w:pPr>
        <w:snapToGrid w:val="0"/>
        <w:spacing w:after="0" w:line="240" w:lineRule="auto"/>
        <w:jc w:val="both"/>
        <w:rPr>
          <w:rFonts w:ascii="Times New Roman" w:hAnsi="宋体"/>
          <w:sz w:val="20"/>
          <w:szCs w:val="20"/>
          <w:lang w:val="en-GB"/>
        </w:rPr>
      </w:pPr>
      <w:r>
        <w:rPr>
          <w:rFonts w:hint="eastAsia" w:ascii="Times New Roman" w:hAnsi="宋体"/>
          <w:sz w:val="20"/>
          <w:szCs w:val="20"/>
          <w:lang w:val="en-GB"/>
        </w:rPr>
        <w:t xml:space="preserve">One flexible approach is using bit map to indicate whether it is needed to measure and report particular CSI parameters in different PBs, where PB sizes and </w:t>
      </w:r>
      <w:r>
        <w:rPr>
          <w:rFonts w:ascii="Times New Roman" w:hAnsi="宋体"/>
          <w:sz w:val="20"/>
          <w:szCs w:val="20"/>
          <w:lang w:val="en-GB"/>
        </w:rPr>
        <w:t>location</w:t>
      </w:r>
      <w:r>
        <w:rPr>
          <w:rFonts w:hint="eastAsia" w:ascii="Times New Roman" w:hAnsi="宋体"/>
          <w:sz w:val="20"/>
          <w:szCs w:val="20"/>
          <w:lang w:val="en-GB"/>
        </w:rPr>
        <w:t xml:space="preserve">s are pre-defined. Then inside each PB which needs to report CSI parameters, another set of bit maps are configured to indicate SB reporting requirements. WB report can be regarded as a special example of PB. Specifically, we give an example of using two set of bit maps to indicate CSI ON/OF and frequency granularity. Bitmap for PB feedback is shown in Table I, where two PBs are pre-defined, 0/1 means this parameter is not reported/reported in this PB. Then Table II is another bit map to show report requirement of each SB inside PB 1, whereas Table III shows SB reports for SBs in PB2. </w:t>
      </w:r>
    </w:p>
    <w:p>
      <w:pPr>
        <w:spacing w:after="0" w:line="240" w:lineRule="auto"/>
        <w:jc w:val="center"/>
        <w:rPr>
          <w:rFonts w:ascii="Times New Roman" w:hAnsi="宋体"/>
          <w:sz w:val="20"/>
          <w:szCs w:val="20"/>
          <w:lang w:val="en-GB"/>
        </w:rPr>
      </w:pPr>
      <w:r>
        <w:rPr>
          <w:rFonts w:hint="eastAsia" w:ascii="Times New Roman" w:hAnsi="宋体"/>
          <w:sz w:val="20"/>
          <w:szCs w:val="20"/>
          <w:lang w:val="en-GB"/>
        </w:rPr>
        <w:t>Table I Bit map for PB feedback</w:t>
      </w:r>
    </w:p>
    <w:tbl>
      <w:tblPr>
        <w:tblStyle w:val="21"/>
        <w:tblW w:w="39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169"/>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p>
        </w:tc>
        <w:tc>
          <w:tcPr>
            <w:tcW w:w="1169" w:type="dxa"/>
          </w:tcPr>
          <w:p>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pPr>
              <w:spacing w:after="0" w:line="240" w:lineRule="auto"/>
              <w:jc w:val="center"/>
              <w:rPr>
                <w:rFonts w:ascii="Times New Roman" w:hAnsi="宋体"/>
                <w:sz w:val="20"/>
                <w:szCs w:val="20"/>
              </w:rPr>
            </w:pPr>
            <w:r>
              <w:rPr>
                <w:rFonts w:ascii="Times New Roman" w:hAnsi="宋体"/>
                <w:sz w:val="20"/>
                <w:szCs w:val="20"/>
              </w:rPr>
              <w:t>PB2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2</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3</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w:t>
            </w:r>
            <w:r>
              <w:rPr>
                <w:rFonts w:hint="eastAsia" w:ascii="Times New Roman" w:hAnsi="宋体"/>
                <w:sz w:val="20"/>
                <w:szCs w:val="20"/>
              </w:rPr>
              <w:t xml:space="preserve">I parameter </w:t>
            </w:r>
            <w:r>
              <w:rPr>
                <w:rFonts w:ascii="Times New Roman" w:hAnsi="宋体"/>
                <w:sz w:val="20"/>
                <w:szCs w:val="20"/>
              </w:rPr>
              <w:t>4</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bl>
    <w:p>
      <w:pPr>
        <w:spacing w:after="0" w:line="240" w:lineRule="auto"/>
        <w:jc w:val="center"/>
        <w:rPr>
          <w:rFonts w:ascii="Times New Roman" w:hAnsi="宋体"/>
          <w:sz w:val="20"/>
          <w:szCs w:val="20"/>
        </w:rPr>
      </w:pPr>
      <w:r>
        <w:rPr>
          <w:rFonts w:hint="eastAsia" w:ascii="Times New Roman" w:hAnsi="宋体"/>
          <w:sz w:val="20"/>
          <w:szCs w:val="20"/>
        </w:rPr>
        <w:t>Table II Bit map for SBs in PB1</w:t>
      </w:r>
    </w:p>
    <w:tbl>
      <w:tblPr>
        <w:tblStyle w:val="21"/>
        <w:tblW w:w="6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169"/>
        <w:gridCol w:w="1169"/>
        <w:gridCol w:w="1169"/>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p>
        </w:tc>
        <w:tc>
          <w:tcPr>
            <w:tcW w:w="1169" w:type="dxa"/>
          </w:tcPr>
          <w:p>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pPr>
              <w:spacing w:after="0" w:line="240" w:lineRule="auto"/>
              <w:jc w:val="center"/>
              <w:rPr>
                <w:rFonts w:ascii="Times New Roman" w:hAnsi="宋体"/>
                <w:sz w:val="20"/>
                <w:szCs w:val="20"/>
              </w:rPr>
            </w:pPr>
            <w:r>
              <w:rPr>
                <w:rFonts w:ascii="Times New Roman" w:hAnsi="宋体"/>
                <w:sz w:val="20"/>
                <w:szCs w:val="20"/>
              </w:rPr>
              <w:t>SB</w:t>
            </w:r>
            <w:r>
              <w:rPr>
                <w:rFonts w:hint="eastAsia" w:ascii="Times New Roman" w:hAnsi="宋体"/>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2</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4</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bl>
    <w:p>
      <w:pPr>
        <w:spacing w:after="0" w:line="240" w:lineRule="auto"/>
        <w:jc w:val="center"/>
        <w:rPr>
          <w:rFonts w:ascii="Times New Roman" w:hAnsi="宋体"/>
          <w:sz w:val="20"/>
          <w:szCs w:val="20"/>
        </w:rPr>
      </w:pPr>
      <w:r>
        <w:rPr>
          <w:rFonts w:hint="eastAsia" w:ascii="Times New Roman" w:hAnsi="宋体"/>
          <w:sz w:val="20"/>
          <w:szCs w:val="20"/>
        </w:rPr>
        <w:t>Table III Bit map for SBs in PB2</w:t>
      </w:r>
    </w:p>
    <w:tbl>
      <w:tblPr>
        <w:tblStyle w:val="21"/>
        <w:tblW w:w="6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169"/>
        <w:gridCol w:w="1169"/>
        <w:gridCol w:w="1169"/>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tcPr>
          <w:p>
            <w:pPr>
              <w:spacing w:after="0" w:line="240" w:lineRule="auto"/>
              <w:jc w:val="center"/>
              <w:rPr>
                <w:rFonts w:ascii="Times New Roman" w:hAnsi="宋体"/>
                <w:sz w:val="20"/>
                <w:szCs w:val="20"/>
              </w:rPr>
            </w:pPr>
          </w:p>
        </w:tc>
        <w:tc>
          <w:tcPr>
            <w:tcW w:w="1169" w:type="dxa"/>
          </w:tcPr>
          <w:p>
            <w:pPr>
              <w:spacing w:after="0" w:line="240" w:lineRule="auto"/>
              <w:jc w:val="center"/>
              <w:rPr>
                <w:rFonts w:ascii="Times New Roman" w:hAnsi="宋体"/>
                <w:sz w:val="20"/>
                <w:szCs w:val="20"/>
              </w:rPr>
            </w:pPr>
            <w:r>
              <w:rPr>
                <w:rFonts w:ascii="Times New Roman" w:hAnsi="宋体"/>
                <w:sz w:val="20"/>
                <w:szCs w:val="20"/>
              </w:rPr>
              <w:t>SB</w:t>
            </w:r>
            <w:r>
              <w:rPr>
                <w:rFonts w:hint="eastAsia" w:ascii="Times New Roman" w:hAnsi="宋体"/>
                <w:sz w:val="20"/>
                <w:szCs w:val="20"/>
              </w:rPr>
              <w:t>3</w:t>
            </w:r>
          </w:p>
        </w:tc>
        <w:tc>
          <w:tcPr>
            <w:tcW w:w="1169" w:type="dxa"/>
          </w:tcPr>
          <w:p>
            <w:pPr>
              <w:spacing w:after="0" w:line="240" w:lineRule="auto"/>
              <w:jc w:val="center"/>
              <w:rPr>
                <w:rFonts w:ascii="Times New Roman" w:hAnsi="宋体"/>
                <w:sz w:val="20"/>
                <w:szCs w:val="20"/>
              </w:rPr>
            </w:pPr>
            <w:r>
              <w:rPr>
                <w:rFonts w:ascii="Times New Roman" w:hAnsi="宋体"/>
                <w:sz w:val="20"/>
                <w:szCs w:val="20"/>
              </w:rPr>
              <w:t>SB</w:t>
            </w:r>
            <w:r>
              <w:rPr>
                <w:rFonts w:hint="eastAsia" w:ascii="Times New Roman" w:hAnsi="宋体"/>
                <w:sz w:val="20"/>
                <w:szCs w:val="20"/>
              </w:rPr>
              <w:t>4</w:t>
            </w:r>
          </w:p>
        </w:tc>
        <w:tc>
          <w:tcPr>
            <w:tcW w:w="1169" w:type="dxa"/>
          </w:tcPr>
          <w:p>
            <w:pPr>
              <w:spacing w:after="0" w:line="240" w:lineRule="auto"/>
              <w:jc w:val="center"/>
              <w:rPr>
                <w:rFonts w:ascii="Times New Roman" w:hAnsi="宋体"/>
                <w:sz w:val="20"/>
                <w:szCs w:val="20"/>
              </w:rPr>
            </w:pPr>
            <w:r>
              <w:rPr>
                <w:rFonts w:ascii="Times New Roman" w:hAnsi="宋体"/>
                <w:sz w:val="20"/>
                <w:szCs w:val="20"/>
              </w:rPr>
              <w:t>SB</w:t>
            </w:r>
            <w:r>
              <w:rPr>
                <w:rFonts w:hint="eastAsia" w:ascii="Times New Roman" w:hAnsi="宋体"/>
                <w:sz w:val="20"/>
                <w:szCs w:val="20"/>
              </w:rPr>
              <w:t>5</w:t>
            </w:r>
          </w:p>
        </w:tc>
        <w:tc>
          <w:tcPr>
            <w:tcW w:w="1169" w:type="dxa"/>
          </w:tcPr>
          <w:p>
            <w:pPr>
              <w:spacing w:after="0" w:line="240" w:lineRule="auto"/>
              <w:jc w:val="center"/>
              <w:rPr>
                <w:rFonts w:ascii="Times New Roman" w:hAnsi="宋体"/>
                <w:sz w:val="20"/>
                <w:szCs w:val="20"/>
              </w:rPr>
            </w:pPr>
            <w:r>
              <w:rPr>
                <w:rFonts w:ascii="Times New Roman" w:hAnsi="宋体"/>
                <w:sz w:val="20"/>
                <w:szCs w:val="20"/>
              </w:rPr>
              <w:t>SB</w:t>
            </w:r>
            <w:r>
              <w:rPr>
                <w:rFonts w:hint="eastAsia" w:ascii="Times New Roman" w:hAnsi="宋体"/>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3</w:t>
            </w:r>
          </w:p>
        </w:tc>
        <w:tc>
          <w:tcPr>
            <w:tcW w:w="1169" w:type="dxa"/>
          </w:tcPr>
          <w:p>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618" w:type="dxa"/>
          </w:tcPr>
          <w:p>
            <w:pPr>
              <w:spacing w:after="0" w:line="240" w:lineRule="auto"/>
              <w:jc w:val="center"/>
              <w:rPr>
                <w:rFonts w:ascii="Times New Roman" w:hAnsi="宋体"/>
                <w:sz w:val="20"/>
                <w:szCs w:val="20"/>
              </w:rPr>
            </w:pPr>
            <w:r>
              <w:rPr>
                <w:rFonts w:ascii="Times New Roman" w:hAnsi="宋体"/>
                <w:sz w:val="20"/>
                <w:szCs w:val="20"/>
              </w:rPr>
              <w:t>CSI</w:t>
            </w:r>
            <w:r>
              <w:rPr>
                <w:rFonts w:hint="eastAsia" w:ascii="Times New Roman" w:hAnsi="宋体"/>
                <w:sz w:val="20"/>
                <w:szCs w:val="20"/>
              </w:rPr>
              <w:t xml:space="preserve"> parameter </w:t>
            </w:r>
            <w:r>
              <w:rPr>
                <w:rFonts w:ascii="Times New Roman" w:hAnsi="宋体"/>
                <w:sz w:val="20"/>
                <w:szCs w:val="20"/>
              </w:rPr>
              <w:t>4</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pPr>
              <w:spacing w:after="0" w:line="240" w:lineRule="auto"/>
              <w:jc w:val="center"/>
              <w:rPr>
                <w:rFonts w:ascii="Times New Roman" w:hAnsi="宋体"/>
                <w:sz w:val="20"/>
                <w:szCs w:val="20"/>
              </w:rPr>
            </w:pPr>
            <w:r>
              <w:rPr>
                <w:rFonts w:ascii="Times New Roman" w:hAnsi="宋体"/>
                <w:sz w:val="20"/>
                <w:szCs w:val="20"/>
              </w:rPr>
              <w:t>1</w:t>
            </w:r>
          </w:p>
        </w:tc>
      </w:tr>
    </w:tbl>
    <w:p>
      <w:pPr>
        <w:snapToGrid w:val="0"/>
        <w:spacing w:before="120" w:after="0" w:line="240" w:lineRule="auto"/>
        <w:jc w:val="both"/>
        <w:rPr>
          <w:rFonts w:ascii="Times New Roman" w:hAnsi="宋体"/>
          <w:i/>
          <w:sz w:val="20"/>
          <w:szCs w:val="20"/>
          <w:lang w:val="en-GB"/>
        </w:rPr>
      </w:pPr>
      <w:r>
        <w:rPr>
          <w:rFonts w:hint="eastAsia" w:ascii="Times New Roman" w:hAnsi="宋体"/>
          <w:b/>
          <w:i/>
          <w:sz w:val="20"/>
          <w:szCs w:val="20"/>
          <w:lang w:val="en-GB"/>
        </w:rPr>
        <w:t xml:space="preserve">Proposal </w:t>
      </w:r>
      <w:r>
        <w:rPr>
          <w:rFonts w:hint="eastAsia" w:ascii="Times New Roman" w:hAnsi="宋体"/>
          <w:b/>
          <w:i/>
          <w:sz w:val="20"/>
          <w:szCs w:val="20"/>
        </w:rPr>
        <w:t>1</w:t>
      </w:r>
      <w:r>
        <w:rPr>
          <w:rFonts w:ascii="Times New Roman" w:hAnsi="宋体"/>
          <w:b/>
          <w:i/>
          <w:sz w:val="20"/>
          <w:szCs w:val="20"/>
          <w:lang w:val="en-GB"/>
        </w:rPr>
        <w:t xml:space="preserve">: </w:t>
      </w:r>
      <w:r>
        <w:rPr>
          <w:rFonts w:hint="eastAsia" w:ascii="Times New Roman" w:hAnsi="宋体"/>
          <w:i/>
          <w:sz w:val="20"/>
          <w:szCs w:val="20"/>
          <w:lang w:val="en-GB"/>
        </w:rPr>
        <w:t xml:space="preserve">NR </w:t>
      </w:r>
      <w:r>
        <w:rPr>
          <w:rFonts w:hint="eastAsia" w:ascii="Times New Roman" w:hAnsi="宋体"/>
          <w:i/>
          <w:sz w:val="20"/>
          <w:szCs w:val="20"/>
        </w:rPr>
        <w:t>supports to</w:t>
      </w:r>
      <w:r>
        <w:rPr>
          <w:rFonts w:hint="eastAsia" w:ascii="Times New Roman" w:hAnsi="宋体"/>
          <w:i/>
          <w:sz w:val="20"/>
          <w:szCs w:val="20"/>
          <w:lang w:val="en-GB"/>
        </w:rPr>
        <w:t xml:space="preserve"> use </w:t>
      </w:r>
      <w:r>
        <w:rPr>
          <w:rFonts w:ascii="Times New Roman" w:hAnsi="宋体"/>
          <w:i/>
          <w:sz w:val="20"/>
          <w:szCs w:val="20"/>
          <w:lang w:val="en-GB"/>
        </w:rPr>
        <w:t>separate</w:t>
      </w:r>
      <w:r>
        <w:rPr>
          <w:rFonts w:hint="eastAsia" w:ascii="Times New Roman" w:hAnsi="宋体"/>
          <w:i/>
          <w:sz w:val="20"/>
          <w:szCs w:val="20"/>
          <w:lang w:val="en-GB"/>
        </w:rPr>
        <w:t xml:space="preserve"> set</w:t>
      </w:r>
      <w:r>
        <w:rPr>
          <w:rFonts w:hint="eastAsia" w:ascii="Times New Roman" w:hAnsi="宋体"/>
          <w:i/>
          <w:sz w:val="20"/>
          <w:szCs w:val="20"/>
        </w:rPr>
        <w:t>s</w:t>
      </w:r>
      <w:r>
        <w:rPr>
          <w:rFonts w:hint="eastAsia" w:ascii="Times New Roman" w:hAnsi="宋体"/>
          <w:i/>
          <w:sz w:val="20"/>
          <w:szCs w:val="20"/>
          <w:lang w:val="en-GB"/>
        </w:rPr>
        <w:t xml:space="preserve"> of bit maps to indicate PB and SB report </w:t>
      </w:r>
      <w:r>
        <w:rPr>
          <w:rFonts w:hint="eastAsia" w:ascii="Times New Roman" w:hAnsi="宋体"/>
          <w:i/>
          <w:sz w:val="20"/>
          <w:szCs w:val="20"/>
        </w:rPr>
        <w:t>configuration</w:t>
      </w:r>
      <w:r>
        <w:rPr>
          <w:rFonts w:hint="eastAsia" w:ascii="Times New Roman" w:hAnsi="宋体"/>
          <w:i/>
          <w:sz w:val="20"/>
          <w:szCs w:val="20"/>
          <w:lang w:val="en-GB"/>
        </w:rPr>
        <w:t>s of CSI parameters.</w:t>
      </w:r>
    </w:p>
    <w:p>
      <w:pPr>
        <w:spacing w:before="120"/>
        <w:jc w:val="both"/>
        <w:rPr>
          <w:rFonts w:ascii="Times New Roman" w:hAnsi="宋体"/>
          <w:b/>
          <w:sz w:val="20"/>
          <w:szCs w:val="20"/>
          <w:u w:val="single"/>
        </w:rPr>
      </w:pPr>
      <w:r>
        <w:rPr>
          <w:rFonts w:hint="eastAsia" w:ascii="Times New Roman" w:hAnsi="宋体"/>
          <w:b/>
          <w:sz w:val="20"/>
          <w:szCs w:val="20"/>
          <w:u w:val="single"/>
        </w:rPr>
        <w:t>CSI report resource pooling</w:t>
      </w:r>
    </w:p>
    <w:p>
      <w:pPr>
        <w:snapToGrid w:val="0"/>
        <w:spacing w:before="120"/>
        <w:jc w:val="both"/>
        <w:rPr>
          <w:rFonts w:ascii="Times New Roman" w:hAnsi="Times New Roman"/>
          <w:sz w:val="20"/>
          <w:szCs w:val="20"/>
        </w:rPr>
      </w:pPr>
      <w:r>
        <w:rPr>
          <w:rFonts w:hint="eastAsia" w:ascii="Times New Roman" w:hAnsi="Times New Roman"/>
          <w:sz w:val="20"/>
          <w:szCs w:val="20"/>
        </w:rPr>
        <w:t>As multi-beam based MIMO transmission is one of the key technologies to combat high path loss and penetration loss in NR</w:t>
      </w:r>
      <w:r>
        <w:rPr>
          <w:rFonts w:ascii="Times New Roman" w:hAnsi="Times New Roman"/>
          <w:sz w:val="20"/>
          <w:szCs w:val="20"/>
        </w:rPr>
        <w:t xml:space="preserve"> with high frequency</w:t>
      </w:r>
      <w:r>
        <w:rPr>
          <w:rFonts w:hint="eastAsia" w:ascii="Times New Roman" w:hAnsi="Times New Roman"/>
          <w:sz w:val="20"/>
          <w:szCs w:val="20"/>
        </w:rPr>
        <w:t xml:space="preserve">, multiple beams should be </w:t>
      </w:r>
      <w:r>
        <w:rPr>
          <w:rFonts w:ascii="Times New Roman" w:hAnsi="Times New Roman"/>
          <w:sz w:val="20"/>
          <w:szCs w:val="20"/>
        </w:rPr>
        <w:t>used</w:t>
      </w:r>
      <w:r>
        <w:rPr>
          <w:rFonts w:hint="eastAsia" w:ascii="Times New Roman" w:hAnsi="Times New Roman"/>
          <w:sz w:val="20"/>
          <w:szCs w:val="20"/>
        </w:rPr>
        <w:t xml:space="preserve"> </w:t>
      </w:r>
      <w:r>
        <w:rPr>
          <w:rFonts w:ascii="Times New Roman" w:hAnsi="Times New Roman"/>
          <w:sz w:val="20"/>
          <w:szCs w:val="20"/>
        </w:rPr>
        <w:t>by</w:t>
      </w:r>
      <w:r>
        <w:rPr>
          <w:rFonts w:hint="eastAsia" w:ascii="Times New Roman" w:hAnsi="Times New Roman"/>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data/control transmission. Compared with LTE, beamformed CSI transmission may cause larger interference. Moreover, gNB needs to use Rx beams which can be paired well with UE Tx beam to have better receiving. Hence gNB needs to allocate the CSI report resources for different UEs </w:t>
      </w:r>
      <w:r>
        <w:rPr>
          <w:rFonts w:ascii="Times New Roman" w:hAnsi="Times New Roman"/>
          <w:sz w:val="20"/>
          <w:szCs w:val="20"/>
        </w:rPr>
        <w:t>appropriately</w:t>
      </w:r>
      <w:r>
        <w:rPr>
          <w:rFonts w:hint="eastAsia" w:ascii="Times New Roman" w:hAnsi="Times New Roman"/>
          <w:sz w:val="20"/>
          <w:szCs w:val="20"/>
        </w:rPr>
        <w:t xml:space="preserve">. On the other hand, it has been agreed that periodic, aperiodic and semi-persistent CSI reporting should be all supported for NR CSI reporting. CSI report resource pooling shared by multiple UEs can be considered to support flexible and efficient CSI report resource configuration for these CSI report types. </w:t>
      </w:r>
    </w:p>
    <w:p>
      <w:pPr>
        <w:spacing w:before="120"/>
        <w:jc w:val="both"/>
        <w:rPr>
          <w:rFonts w:ascii="Times New Roman" w:hAnsi="Times New Roman"/>
          <w:sz w:val="20"/>
          <w:szCs w:val="20"/>
        </w:rPr>
      </w:pPr>
      <w:r>
        <w:rPr>
          <w:rFonts w:hint="eastAsia" w:ascii="Times New Roman" w:hAnsi="Times New Roman"/>
          <w:sz w:val="20"/>
          <w:szCs w:val="20"/>
        </w:rPr>
        <w:t xml:space="preserve">The </w:t>
      </w:r>
      <w:r>
        <w:rPr>
          <w:rFonts w:ascii="Times New Roman" w:hAnsi="Times New Roman"/>
          <w:sz w:val="20"/>
          <w:szCs w:val="20"/>
        </w:rPr>
        <w:t>procedure</w:t>
      </w:r>
      <w:r>
        <w:rPr>
          <w:rFonts w:hint="eastAsia" w:ascii="Times New Roman" w:hAnsi="Times New Roman"/>
          <w:sz w:val="20"/>
          <w:szCs w:val="20"/>
        </w:rPr>
        <w:t xml:space="preserve"> of multi-level configuration on CSI report </w:t>
      </w:r>
      <w:r>
        <w:rPr>
          <w:rFonts w:ascii="Times New Roman" w:hAnsi="Times New Roman"/>
          <w:sz w:val="20"/>
          <w:szCs w:val="20"/>
        </w:rPr>
        <w:t>resource</w:t>
      </w:r>
      <w:r>
        <w:rPr>
          <w:rFonts w:hint="eastAsia" w:ascii="Times New Roman" w:hAnsi="Times New Roman"/>
          <w:sz w:val="20"/>
          <w:szCs w:val="20"/>
        </w:rPr>
        <w:t xml:space="preserve"> pooling is depicted in Fig. 1.</w:t>
      </w:r>
    </w:p>
    <w:p>
      <w:pPr>
        <w:spacing w:before="120"/>
        <w:jc w:val="center"/>
        <w:rPr>
          <w:rFonts w:ascii="Times New Roman" w:hAnsi="Times New Roman"/>
          <w:sz w:val="20"/>
        </w:rPr>
      </w:pPr>
      <w:r>
        <w:rPr>
          <w:rFonts w:ascii="Times New Roman" w:hAnsi="Times New Roman"/>
          <w:sz w:val="20"/>
        </w:rPr>
        <w:object>
          <v:shape id="_x0000_i1025" o:spt="75" type="#_x0000_t75" style="height:199.4pt;width:260.3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jc w:val="center"/>
        <w:rPr>
          <w:rFonts w:ascii="Times New Roman" w:hAnsi="Times New Roman"/>
          <w:sz w:val="20"/>
        </w:rPr>
      </w:pPr>
      <w:r>
        <w:rPr>
          <w:rFonts w:hint="eastAsia" w:ascii="Times New Roman" w:hAnsi="Times New Roman"/>
          <w:sz w:val="20"/>
        </w:rPr>
        <w:t>Fig.1 CSI report resource pooling</w:t>
      </w:r>
    </w:p>
    <w:p>
      <w:pPr>
        <w:snapToGrid w:val="0"/>
        <w:spacing w:before="120"/>
        <w:jc w:val="both"/>
        <w:rPr>
          <w:rFonts w:ascii="Times New Roman" w:hAnsi="Times New Roman"/>
          <w:sz w:val="20"/>
          <w:szCs w:val="20"/>
        </w:rPr>
      </w:pPr>
      <w:r>
        <w:rPr>
          <w:rFonts w:hint="eastAsia" w:ascii="Times New Roman" w:hAnsi="Times New Roman"/>
          <w:sz w:val="20"/>
          <w:szCs w:val="20"/>
        </w:rPr>
        <w:t>As shown in Fig.1, a resource pool which can be shared among a group of UEs is configured through high layer signaling. Each element of the configured resource pool contains the potential resource used for CSI reporting. Each resource can contain the following parameters:</w:t>
      </w:r>
    </w:p>
    <w:p>
      <w:pPr>
        <w:widowControl w:val="0"/>
        <w:numPr>
          <w:ilvl w:val="0"/>
          <w:numId w:val="10"/>
        </w:numPr>
        <w:snapToGrid w:val="0"/>
        <w:spacing w:before="120" w:after="0" w:line="240" w:lineRule="auto"/>
        <w:jc w:val="both"/>
        <w:rPr>
          <w:rFonts w:ascii="Times New Roman" w:hAnsi="Times New Roman"/>
          <w:kern w:val="2"/>
          <w:sz w:val="20"/>
          <w:szCs w:val="20"/>
        </w:rPr>
      </w:pPr>
      <w:r>
        <w:rPr>
          <w:rFonts w:hint="eastAsia" w:ascii="Times New Roman" w:hAnsi="Times New Roman"/>
          <w:kern w:val="2"/>
          <w:sz w:val="20"/>
          <w:szCs w:val="20"/>
        </w:rPr>
        <w:t xml:space="preserve">Information on time domain resources, e.g., subframes and OFDM symbols. </w:t>
      </w:r>
    </w:p>
    <w:p>
      <w:pPr>
        <w:widowControl w:val="0"/>
        <w:numPr>
          <w:ilvl w:val="0"/>
          <w:numId w:val="10"/>
        </w:numPr>
        <w:snapToGrid w:val="0"/>
        <w:spacing w:before="120" w:after="0" w:line="240" w:lineRule="auto"/>
        <w:jc w:val="both"/>
        <w:rPr>
          <w:rFonts w:ascii="Times New Roman" w:hAnsi="Times New Roman"/>
          <w:kern w:val="2"/>
          <w:sz w:val="20"/>
          <w:szCs w:val="20"/>
        </w:rPr>
      </w:pPr>
      <w:r>
        <w:rPr>
          <w:rFonts w:hint="eastAsia" w:ascii="Times New Roman" w:hAnsi="Times New Roman"/>
          <w:kern w:val="2"/>
          <w:sz w:val="20"/>
          <w:szCs w:val="20"/>
        </w:rPr>
        <w:t xml:space="preserve">Information on frequency domain resources, e.g., RBs and sub-bands. As frequency-selective precoder is applied for OFDM-based uplink, gNB may also need to allocate different RBs or sub-bands to different groups of UEs. This also </w:t>
      </w:r>
      <w:r>
        <w:rPr>
          <w:rFonts w:ascii="Times New Roman" w:hAnsi="Times New Roman"/>
          <w:kern w:val="2"/>
          <w:sz w:val="20"/>
          <w:szCs w:val="20"/>
        </w:rPr>
        <w:t>depends</w:t>
      </w:r>
      <w:r>
        <w:rPr>
          <w:rFonts w:hint="eastAsia" w:ascii="Times New Roman" w:hAnsi="Times New Roman"/>
          <w:kern w:val="2"/>
          <w:sz w:val="20"/>
          <w:szCs w:val="20"/>
        </w:rPr>
        <w:t xml:space="preserve"> on the design of uplink control channel and data channel.</w:t>
      </w:r>
    </w:p>
    <w:p>
      <w:pPr>
        <w:spacing w:before="120"/>
        <w:jc w:val="center"/>
        <w:rPr>
          <w:rFonts w:ascii="Times New Roman" w:hAnsi="Times New Roman"/>
          <w:sz w:val="20"/>
          <w:szCs w:val="20"/>
        </w:rPr>
      </w:pPr>
      <w:r>
        <w:rPr>
          <w:rFonts w:ascii="Times New Roman" w:hAnsi="Times New Roman"/>
          <w:sz w:val="20"/>
        </w:rPr>
        <w:object>
          <v:shape id="_x0000_i1026" o:spt="75" type="#_x0000_t75" style="height:121.85pt;width:448.6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spacing w:before="120"/>
        <w:jc w:val="center"/>
        <w:rPr>
          <w:rFonts w:ascii="Times New Roman" w:hAnsi="Times New Roman"/>
          <w:sz w:val="20"/>
          <w:szCs w:val="20"/>
        </w:rPr>
      </w:pPr>
      <w:r>
        <w:rPr>
          <w:rFonts w:hint="eastAsia" w:ascii="Times New Roman" w:hAnsi="Times New Roman"/>
          <w:sz w:val="20"/>
          <w:szCs w:val="20"/>
        </w:rPr>
        <w:t>Fig. 2 Flexible CSI report resource indication</w:t>
      </w:r>
    </w:p>
    <w:p>
      <w:pPr>
        <w:snapToGrid w:val="0"/>
        <w:spacing w:before="120"/>
        <w:jc w:val="both"/>
        <w:rPr>
          <w:rFonts w:ascii="Times New Roman" w:hAnsi="Times New Roman"/>
          <w:sz w:val="20"/>
          <w:szCs w:val="20"/>
        </w:rPr>
      </w:pPr>
      <w:r>
        <w:rPr>
          <w:rFonts w:hint="eastAsia" w:ascii="Times New Roman" w:hAnsi="Times New Roman"/>
          <w:sz w:val="20"/>
          <w:szCs w:val="20"/>
        </w:rPr>
        <w:t xml:space="preserve">As shown in Fig.2, flexible CSI report resource indication needs to be supported to enable dynamic gNB Rx beam </w:t>
      </w:r>
      <w:r>
        <w:rPr>
          <w:rFonts w:ascii="Times New Roman" w:hAnsi="Times New Roman"/>
          <w:sz w:val="20"/>
          <w:szCs w:val="20"/>
        </w:rPr>
        <w:t>switching</w:t>
      </w:r>
      <w:r>
        <w:rPr>
          <w:rFonts w:hint="eastAsia" w:ascii="Times New Roman" w:hAnsi="Times New Roman"/>
          <w:sz w:val="20"/>
          <w:szCs w:val="20"/>
        </w:rPr>
        <w:t>. For periodic CSI reporting, gNB is able to configure the resource allocation semi-</w:t>
      </w:r>
      <w:r>
        <w:rPr>
          <w:rFonts w:ascii="Times New Roman" w:hAnsi="Times New Roman"/>
          <w:sz w:val="20"/>
          <w:szCs w:val="20"/>
        </w:rPr>
        <w:t>statically</w:t>
      </w:r>
      <w:r>
        <w:rPr>
          <w:rFonts w:hint="eastAsia" w:ascii="Times New Roman" w:hAnsi="Times New Roman"/>
          <w:sz w:val="20"/>
          <w:szCs w:val="20"/>
        </w:rPr>
        <w:t xml:space="preserve"> in subframe-level. RRC signaling is enough to carry the subframe-level parameters. Further, since gNB Rx beam can change in symbol-level to adjust to dynamic channel varying, gNB needs to configure symbol-level CSI report resource to UE dynamically based on the configured subframe-level resources. For semi-persistent CSI reporting, as whether CSI reporting appears is based on the semi-persistent activation/deactivation </w:t>
      </w:r>
      <w:r>
        <w:rPr>
          <w:rFonts w:ascii="Times New Roman" w:hAnsi="Times New Roman"/>
          <w:sz w:val="20"/>
          <w:szCs w:val="20"/>
        </w:rPr>
        <w:t>procedure</w:t>
      </w:r>
      <w:r>
        <w:rPr>
          <w:rFonts w:hint="eastAsia" w:ascii="Times New Roman" w:hAnsi="Times New Roman"/>
          <w:sz w:val="20"/>
          <w:szCs w:val="20"/>
        </w:rPr>
        <w:t>, gNB needs to allocate CSI report resource semi-persistently to adjust Rx beam and eliminate interference. Then CSI report resource allocation based on a shared pool and activation/deactivation with L1/L2 signaling is more suitable for semi-persistent CSI reporting. Similarly, for aperiodic CSI reporting, gNB needs to allocate CSI report resource dynamically to adjust Rx beam at least in subframe-level</w:t>
      </w:r>
      <w:r>
        <w:rPr>
          <w:rFonts w:hint="eastAsia" w:ascii="Times New Roman" w:hAnsi="Times New Roman"/>
          <w:sz w:val="20"/>
          <w:szCs w:val="20"/>
          <w:u w:val="single"/>
        </w:rPr>
        <w:t>.</w:t>
      </w:r>
      <w:r>
        <w:rPr>
          <w:rFonts w:hint="eastAsia" w:ascii="Times New Roman" w:hAnsi="Times New Roman"/>
          <w:sz w:val="20"/>
          <w:szCs w:val="20"/>
        </w:rPr>
        <w:t xml:space="preserve"> Then DCI is required to indicate CSI report resource in the configured pool. Based on the above discussion, we have the following proposal.</w:t>
      </w:r>
    </w:p>
    <w:p>
      <w:pPr>
        <w:snapToGrid w:val="0"/>
        <w:spacing w:before="120" w:after="0"/>
        <w:jc w:val="both"/>
        <w:rPr>
          <w:rFonts w:ascii="Times New Roman" w:hAnsi="Times New Roman"/>
          <w:i/>
          <w:sz w:val="20"/>
          <w:szCs w:val="20"/>
        </w:rPr>
      </w:pPr>
      <w:r>
        <w:rPr>
          <w:rFonts w:hint="eastAsia" w:ascii="Times New Roman" w:hAnsi="Times New Roman"/>
          <w:b/>
          <w:i/>
          <w:sz w:val="20"/>
          <w:szCs w:val="20"/>
        </w:rPr>
        <w:t>Proposal 2:</w:t>
      </w:r>
      <w:r>
        <w:rPr>
          <w:rFonts w:hint="eastAsia" w:ascii="Times New Roman" w:hAnsi="Times New Roman"/>
          <w:i/>
          <w:sz w:val="20"/>
          <w:szCs w:val="20"/>
        </w:rPr>
        <w:t xml:space="preserve"> NR supports configur</w:t>
      </w:r>
      <w:r>
        <w:rPr>
          <w:rFonts w:ascii="Times New Roman" w:hAnsi="Times New Roman"/>
          <w:i/>
          <w:sz w:val="20"/>
          <w:szCs w:val="20"/>
        </w:rPr>
        <w:t>ation of</w:t>
      </w:r>
      <w:r>
        <w:rPr>
          <w:rFonts w:hint="eastAsia" w:ascii="Times New Roman" w:hAnsi="Times New Roman"/>
          <w:i/>
          <w:sz w:val="20"/>
          <w:szCs w:val="20"/>
        </w:rPr>
        <w:t xml:space="preserve"> CSI report resource pooling in report settings.</w:t>
      </w:r>
    </w:p>
    <w:p>
      <w:pPr>
        <w:snapToGrid w:val="0"/>
        <w:jc w:val="both"/>
        <w:rPr>
          <w:rFonts w:ascii="Times New Roman" w:hAnsi="Times New Roman"/>
          <w:i/>
          <w:sz w:val="20"/>
          <w:szCs w:val="20"/>
        </w:rPr>
      </w:pPr>
      <w:r>
        <w:rPr>
          <w:rFonts w:hint="eastAsia" w:ascii="Times New Roman" w:hAnsi="Times New Roman"/>
          <w:i/>
          <w:sz w:val="20"/>
          <w:szCs w:val="20"/>
        </w:rPr>
        <w:t>-</w:t>
      </w:r>
      <w:r>
        <w:rPr>
          <w:rFonts w:hint="eastAsia" w:ascii="Times New Roman" w:hAnsi="Times New Roman"/>
          <w:i/>
          <w:sz w:val="20"/>
          <w:szCs w:val="20"/>
        </w:rPr>
        <w:tab/>
      </w:r>
      <w:r>
        <w:rPr>
          <w:rFonts w:hint="eastAsia" w:ascii="Times New Roman" w:hAnsi="Times New Roman"/>
          <w:i/>
          <w:sz w:val="20"/>
          <w:szCs w:val="20"/>
        </w:rPr>
        <w:t>CSI report resource selection based on CSI report resource pooling is indicated to UE via L1 or L2 signaling.</w:t>
      </w:r>
    </w:p>
    <w:p>
      <w:pPr>
        <w:spacing w:after="0" w:line="240" w:lineRule="auto"/>
        <w:jc w:val="both"/>
        <w:rPr>
          <w:rFonts w:ascii="Times New Roman" w:hAnsi="宋体"/>
          <w:b/>
          <w:sz w:val="20"/>
          <w:szCs w:val="20"/>
          <w:u w:val="single"/>
        </w:rPr>
      </w:pPr>
      <w:r>
        <w:rPr>
          <w:rFonts w:hint="eastAsia" w:ascii="Times New Roman" w:hAnsi="宋体"/>
          <w:b/>
          <w:sz w:val="20"/>
          <w:szCs w:val="20"/>
          <w:u w:val="single"/>
        </w:rPr>
        <w:t>Flexible codebook configuration with CSR</w:t>
      </w:r>
    </w:p>
    <w:p>
      <w:pPr>
        <w:snapToGrid w:val="0"/>
        <w:spacing w:before="120"/>
        <w:jc w:val="both"/>
        <w:rPr>
          <w:rFonts w:ascii="Times New Roman" w:hAnsi="宋体"/>
          <w:i/>
          <w:sz w:val="20"/>
          <w:szCs w:val="20"/>
        </w:rPr>
      </w:pPr>
      <w:r>
        <w:rPr>
          <w:rFonts w:hint="eastAsia" w:ascii="Times New Roman" w:hAnsi="宋体"/>
          <w:sz w:val="20"/>
          <w:szCs w:val="20"/>
        </w:rPr>
        <w:t xml:space="preserve">In LTE, codebook based CSI measurement and feedback is built with a set of configured parameters, e.g., codebook dimensions, oversampling factors, codebook config and so on. Except codebook dimensions, other </w:t>
      </w:r>
      <w:r>
        <w:rPr>
          <w:rFonts w:ascii="Times New Roman" w:hAnsi="宋体"/>
          <w:sz w:val="20"/>
          <w:szCs w:val="20"/>
        </w:rPr>
        <w:t>parameters</w:t>
      </w:r>
      <w:r>
        <w:rPr>
          <w:rFonts w:hint="eastAsia" w:ascii="Times New Roman" w:hAnsi="宋体"/>
          <w:sz w:val="20"/>
          <w:szCs w:val="20"/>
        </w:rPr>
        <w:t xml:space="preserve"> describes how W1 beam group is </w:t>
      </w:r>
      <w:r>
        <w:rPr>
          <w:rFonts w:ascii="Times New Roman" w:hAnsi="宋体"/>
          <w:sz w:val="20"/>
          <w:szCs w:val="20"/>
        </w:rPr>
        <w:t>constructed</w:t>
      </w:r>
      <w:r>
        <w:rPr>
          <w:rFonts w:hint="eastAsia" w:ascii="Times New Roman" w:hAnsi="宋体"/>
          <w:sz w:val="20"/>
          <w:szCs w:val="20"/>
        </w:rPr>
        <w:t xml:space="preserve"> from the grid of beams. Moreover, the constructed beam group can only be </w:t>
      </w:r>
      <w:r>
        <w:rPr>
          <w:rFonts w:ascii="Times New Roman" w:hAnsi="宋体"/>
          <w:sz w:val="20"/>
          <w:szCs w:val="20"/>
        </w:rPr>
        <w:t>uniformly</w:t>
      </w:r>
      <w:r>
        <w:rPr>
          <w:rFonts w:hint="eastAsia" w:ascii="Times New Roman" w:hAnsi="宋体"/>
          <w:sz w:val="20"/>
          <w:szCs w:val="20"/>
        </w:rPr>
        <w:t xml:space="preserve"> </w:t>
      </w:r>
      <w:r>
        <w:rPr>
          <w:rFonts w:ascii="Times New Roman" w:hAnsi="宋体"/>
          <w:sz w:val="20"/>
          <w:szCs w:val="20"/>
        </w:rPr>
        <w:t>distributed</w:t>
      </w:r>
      <w:r>
        <w:rPr>
          <w:rFonts w:hint="eastAsia" w:ascii="Times New Roman" w:hAnsi="宋体"/>
          <w:sz w:val="20"/>
          <w:szCs w:val="20"/>
        </w:rPr>
        <w:t xml:space="preserve"> in the </w:t>
      </w:r>
      <w:r>
        <w:rPr>
          <w:rFonts w:ascii="Times New Roman" w:hAnsi="宋体"/>
          <w:sz w:val="20"/>
          <w:szCs w:val="20"/>
        </w:rPr>
        <w:t>sp</w:t>
      </w:r>
      <w:r>
        <w:rPr>
          <w:rFonts w:hint="eastAsia" w:ascii="Times New Roman" w:hAnsi="宋体"/>
          <w:sz w:val="20"/>
          <w:szCs w:val="20"/>
        </w:rPr>
        <w:t>at</w:t>
      </w:r>
      <w:r>
        <w:rPr>
          <w:rFonts w:ascii="Times New Roman" w:hAnsi="宋体"/>
          <w:sz w:val="20"/>
          <w:szCs w:val="20"/>
        </w:rPr>
        <w:t>ial</w:t>
      </w:r>
      <w:r>
        <w:rPr>
          <w:rFonts w:hint="eastAsia" w:ascii="Times New Roman" w:hAnsi="宋体"/>
          <w:sz w:val="20"/>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pPr>
        <w:snapToGrid w:val="0"/>
        <w:spacing w:before="120"/>
        <w:jc w:val="both"/>
        <w:rPr>
          <w:rFonts w:ascii="Times New Roman" w:hAnsi="宋体"/>
          <w:sz w:val="20"/>
          <w:szCs w:val="20"/>
        </w:rPr>
      </w:pPr>
      <w:r>
        <w:rPr>
          <w:rFonts w:hint="eastAsia" w:ascii="Times New Roman" w:hAnsi="宋体"/>
          <w:sz w:val="20"/>
          <w:szCs w:val="20"/>
        </w:rPr>
        <w:t xml:space="preserve">Based on the above discussion, CSR is the </w:t>
      </w:r>
      <w:r>
        <w:rPr>
          <w:rFonts w:ascii="Times New Roman" w:hAnsi="宋体"/>
          <w:sz w:val="20"/>
          <w:szCs w:val="20"/>
        </w:rPr>
        <w:t>essential</w:t>
      </w:r>
      <w:r>
        <w:rPr>
          <w:rFonts w:hint="eastAsia" w:ascii="Times New Roman" w:hAnsi="宋体"/>
          <w:sz w:val="20"/>
          <w:szCs w:val="20"/>
        </w:rPr>
        <w:t xml:space="preserve"> parameter for codebook configuration. Then the </w:t>
      </w:r>
      <w:r>
        <w:rPr>
          <w:rFonts w:ascii="Times New Roman" w:hAnsi="宋体"/>
          <w:sz w:val="20"/>
          <w:szCs w:val="20"/>
        </w:rPr>
        <w:t>flexibility</w:t>
      </w:r>
      <w:r>
        <w:rPr>
          <w:rFonts w:hint="eastAsia" w:ascii="Times New Roman" w:hAnsi="宋体"/>
          <w:sz w:val="20"/>
          <w:szCs w:val="20"/>
        </w:rPr>
        <w:t xml:space="preserve"> and signaling overhead for CSR are important metrics in the design of CSI settings. Fig.3 gives a good example of CSR indication with a multi-level structure. In our companion contribution [4], we give a more specific description on the design of CSR.</w:t>
      </w:r>
    </w:p>
    <w:p>
      <w:pPr>
        <w:spacing w:before="120"/>
        <w:jc w:val="center"/>
        <w:rPr>
          <w:rFonts w:ascii="Times New Roman" w:hAnsi="宋体"/>
          <w:sz w:val="20"/>
          <w:szCs w:val="20"/>
        </w:rPr>
      </w:pPr>
      <w:r>
        <w:rPr>
          <w:rFonts w:ascii="Times New Roman" w:hAnsi="Times New Roman"/>
          <w:sz w:val="20"/>
        </w:rPr>
        <w:object>
          <v:shape id="_x0000_i1027" o:spt="75" type="#_x0000_t75" style="height:105.25pt;width:415.4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spacing w:before="120"/>
        <w:jc w:val="center"/>
        <w:rPr>
          <w:rFonts w:ascii="Times New Roman" w:hAnsi="宋体"/>
          <w:sz w:val="20"/>
          <w:szCs w:val="20"/>
        </w:rPr>
      </w:pPr>
      <w:r>
        <w:rPr>
          <w:rFonts w:hint="eastAsia" w:ascii="Times New Roman" w:hAnsi="宋体"/>
          <w:sz w:val="20"/>
          <w:szCs w:val="20"/>
        </w:rPr>
        <w:t>Fig. 3 Flexible CSR configuration</w:t>
      </w:r>
    </w:p>
    <w:p>
      <w:pPr>
        <w:spacing w:before="120"/>
        <w:jc w:val="both"/>
        <w:rPr>
          <w:rFonts w:ascii="Times New Roman" w:hAnsi="宋体"/>
          <w:i/>
          <w:sz w:val="20"/>
          <w:szCs w:val="20"/>
        </w:rPr>
      </w:pPr>
      <w:r>
        <w:rPr>
          <w:rFonts w:hint="eastAsia" w:ascii="Times New Roman" w:hAnsi="宋体"/>
          <w:b/>
          <w:i/>
          <w:sz w:val="20"/>
          <w:szCs w:val="20"/>
        </w:rPr>
        <w:t>Proposal 3:</w:t>
      </w:r>
      <w:r>
        <w:rPr>
          <w:rFonts w:hint="eastAsia" w:ascii="Times New Roman" w:hAnsi="宋体"/>
          <w:i/>
          <w:sz w:val="20"/>
          <w:szCs w:val="20"/>
        </w:rPr>
        <w:t xml:space="preserve"> Dynamic CSR indication</w:t>
      </w:r>
      <w:r>
        <w:rPr>
          <w:rFonts w:ascii="Times New Roman" w:hAnsi="宋体"/>
          <w:i/>
          <w:sz w:val="20"/>
          <w:szCs w:val="20"/>
        </w:rPr>
        <w:t xml:space="preserve"> </w:t>
      </w:r>
      <w:r>
        <w:rPr>
          <w:rFonts w:hint="eastAsia" w:ascii="Times New Roman" w:hAnsi="宋体"/>
          <w:i/>
          <w:sz w:val="20"/>
          <w:szCs w:val="20"/>
        </w:rPr>
        <w:t>based CSI feedback is supported for NR CSI measurement and report.</w:t>
      </w:r>
    </w:p>
    <w:p>
      <w:pPr>
        <w:spacing w:before="120"/>
        <w:jc w:val="both"/>
        <w:rPr>
          <w:rFonts w:ascii="Times New Roman" w:hAnsi="宋体"/>
          <w:b/>
          <w:szCs w:val="20"/>
        </w:rPr>
      </w:pPr>
      <w:r>
        <w:rPr>
          <w:rFonts w:hint="eastAsia" w:ascii="Times New Roman" w:hAnsi="宋体"/>
          <w:b/>
          <w:szCs w:val="20"/>
        </w:rPr>
        <w:t>2.2 Resource settings</w:t>
      </w:r>
    </w:p>
    <w:p>
      <w:pPr>
        <w:spacing w:before="120" w:line="240" w:lineRule="auto"/>
        <w:jc w:val="both"/>
        <w:rPr>
          <w:rFonts w:ascii="Times New Roman" w:hAnsi="宋体"/>
          <w:b/>
          <w:sz w:val="20"/>
          <w:szCs w:val="20"/>
          <w:u w:val="single"/>
        </w:rPr>
      </w:pPr>
      <w:r>
        <w:rPr>
          <w:rFonts w:hint="eastAsia" w:ascii="Times New Roman" w:hAnsi="宋体"/>
          <w:b/>
          <w:sz w:val="20"/>
          <w:szCs w:val="20"/>
          <w:u w:val="single"/>
        </w:rPr>
        <w:t>R</w:t>
      </w:r>
      <w:r>
        <w:rPr>
          <w:rFonts w:ascii="Times New Roman" w:hAnsi="宋体"/>
          <w:b/>
          <w:sz w:val="20"/>
          <w:szCs w:val="20"/>
          <w:u w:val="single"/>
        </w:rPr>
        <w:t xml:space="preserve">esource-specific </w:t>
      </w:r>
      <w:r>
        <w:rPr>
          <w:rFonts w:hint="eastAsia" w:ascii="Times New Roman" w:hAnsi="宋体"/>
          <w:b/>
          <w:sz w:val="20"/>
          <w:szCs w:val="20"/>
          <w:u w:val="single"/>
        </w:rPr>
        <w:t>CSI-RS resource pool configuration</w:t>
      </w:r>
    </w:p>
    <w:p>
      <w:pPr>
        <w:snapToGrid w:val="0"/>
        <w:spacing w:before="120" w:line="240" w:lineRule="auto"/>
        <w:jc w:val="both"/>
        <w:rPr>
          <w:rFonts w:ascii="Times New Roman" w:hAnsi="Times New Roman"/>
          <w:sz w:val="20"/>
        </w:rPr>
      </w:pPr>
      <w:r>
        <w:rPr>
          <w:rFonts w:hint="eastAsia" w:ascii="Times New Roman" w:hAnsi="宋体"/>
          <w:sz w:val="20"/>
          <w:szCs w:val="20"/>
        </w:rPr>
        <w:t xml:space="preserve">As illustrated above, CSI-RS resource pool is used for AP and SP CSI-RS </w:t>
      </w:r>
      <w:r>
        <w:rPr>
          <w:rFonts w:ascii="Times New Roman" w:hAnsi="宋体"/>
          <w:sz w:val="20"/>
          <w:szCs w:val="20"/>
        </w:rPr>
        <w:t>resource</w:t>
      </w:r>
      <w:r>
        <w:rPr>
          <w:rFonts w:hint="eastAsia" w:ascii="Times New Roman" w:hAnsi="宋体"/>
          <w:sz w:val="20"/>
          <w:szCs w:val="20"/>
        </w:rPr>
        <w:t xml:space="preserve"> configuration. However, as the entire CSI reported the one UE may contain multiple components, only one CSI-RS resource pool is not sufficient for CSI acquisition</w:t>
      </w:r>
      <w:r>
        <w:rPr>
          <w:rFonts w:ascii="Times New Roman" w:hAnsi="宋体"/>
          <w:sz w:val="20"/>
          <w:szCs w:val="20"/>
        </w:rPr>
        <w:t xml:space="preserve"> in some scenarios</w:t>
      </w:r>
      <w:r>
        <w:rPr>
          <w:rFonts w:hint="eastAsia" w:ascii="Times New Roman" w:hAnsi="宋体"/>
          <w:sz w:val="20"/>
          <w:szCs w:val="20"/>
        </w:rPr>
        <w:t>. Several use cases for supporting multiple CSI-RS resource pool can be identified. For example, as dense urban with Het-Net layers is an import</w:t>
      </w:r>
      <w:r>
        <w:rPr>
          <w:rFonts w:ascii="Times New Roman" w:hAnsi="宋体"/>
          <w:sz w:val="20"/>
          <w:szCs w:val="20"/>
        </w:rPr>
        <w:t>ant</w:t>
      </w:r>
      <w:r>
        <w:rPr>
          <w:rFonts w:hint="eastAsia" w:ascii="Times New Roman" w:hAnsi="宋体"/>
          <w:sz w:val="20"/>
          <w:szCs w:val="20"/>
        </w:rPr>
        <w:t xml:space="preserve"> scenario in NR, to support eICIC-like technology, different subframe sets </w:t>
      </w:r>
      <w:r>
        <w:rPr>
          <w:rFonts w:ascii="Times New Roman" w:hAnsi="宋体"/>
          <w:sz w:val="20"/>
          <w:szCs w:val="20"/>
        </w:rPr>
        <w:t>can</w:t>
      </w:r>
      <w:r>
        <w:rPr>
          <w:rFonts w:hint="eastAsia" w:ascii="Times New Roman" w:hAnsi="宋体"/>
          <w:sz w:val="20"/>
          <w:szCs w:val="20"/>
        </w:rPr>
        <w:t xml:space="preserve"> be </w:t>
      </w:r>
      <w:r>
        <w:rPr>
          <w:rFonts w:ascii="Times New Roman" w:hAnsi="宋体"/>
          <w:sz w:val="20"/>
          <w:szCs w:val="20"/>
        </w:rPr>
        <w:t>considered</w:t>
      </w:r>
      <w:r>
        <w:rPr>
          <w:rFonts w:hint="eastAsia" w:ascii="Times New Roman" w:hAnsi="宋体"/>
          <w:sz w:val="20"/>
          <w:szCs w:val="20"/>
        </w:rPr>
        <w:t xml:space="preserve">. This feature can be implemented by configuring multiple CSI-RS resource pools as shown in Fig.4. Different pools are associated with different sets of subframe configurations, i.e., each CSI-RS pool is associated with </w:t>
      </w:r>
      <w:r>
        <w:rPr>
          <w:rFonts w:ascii="Times New Roman" w:hAnsi="宋体"/>
          <w:sz w:val="20"/>
          <w:szCs w:val="20"/>
        </w:rPr>
        <w:t>a subframe set. To avoid interference from macro in non-ABS, CSI-RS with different beams can be configured compared to the cases when it has no interference from macro in ABS.  In general, different beams are used for different resources since different resources may suffer different spatial interference due to interference coordination.  Therefore, it is desirable to configure resource-specific CSI-RS resource pools.</w:t>
      </w:r>
      <w:r>
        <w:rPr>
          <w:rFonts w:hint="eastAsia" w:ascii="Times New Roman" w:hAnsi="宋体"/>
          <w:sz w:val="20"/>
          <w:szCs w:val="20"/>
        </w:rPr>
        <w:t xml:space="preserve"> Similarly, configuring multiple resource-specific CSI-RS pools facilitates implementation of DPS, SSPS, eIMTA and so on.</w:t>
      </w:r>
    </w:p>
    <w:p>
      <w:pPr>
        <w:spacing w:before="120" w:line="240" w:lineRule="auto"/>
        <w:jc w:val="center"/>
        <w:rPr>
          <w:rFonts w:ascii="Times New Roman" w:hAnsi="Times New Roman"/>
          <w:sz w:val="20"/>
        </w:rPr>
      </w:pPr>
      <w:r>
        <w:rPr>
          <w:rFonts w:ascii="Times New Roman" w:hAnsi="Times New Roman"/>
          <w:sz w:val="20"/>
        </w:rPr>
        <w:object>
          <v:shape id="_x0000_i1028" o:spt="75" type="#_x0000_t75" style="height:138.45pt;width:204.9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r:id="rId10">
            <o:LockedField>false</o:LockedField>
          </o:OLEObject>
        </w:object>
      </w:r>
    </w:p>
    <w:p>
      <w:pPr>
        <w:spacing w:before="120" w:line="240" w:lineRule="auto"/>
        <w:jc w:val="center"/>
        <w:rPr>
          <w:rFonts w:ascii="Times New Roman" w:hAnsi="宋体"/>
          <w:sz w:val="20"/>
          <w:szCs w:val="20"/>
        </w:rPr>
      </w:pPr>
      <w:r>
        <w:rPr>
          <w:rFonts w:hint="eastAsia" w:ascii="Times New Roman" w:hAnsi="Times New Roman"/>
          <w:sz w:val="20"/>
        </w:rPr>
        <w:t>Fig. 4 Multiple CSI-RS pools</w:t>
      </w:r>
    </w:p>
    <w:p>
      <w:pPr>
        <w:snapToGrid w:val="0"/>
        <w:spacing w:before="120" w:line="240" w:lineRule="auto"/>
        <w:jc w:val="both"/>
        <w:rPr>
          <w:rFonts w:ascii="Times New Roman" w:hAnsi="宋体"/>
          <w:sz w:val="20"/>
          <w:szCs w:val="20"/>
        </w:rPr>
      </w:pPr>
      <w:r>
        <w:rPr>
          <w:rFonts w:hint="eastAsia" w:ascii="Times New Roman" w:hAnsi="宋体"/>
          <w:sz w:val="20"/>
          <w:szCs w:val="20"/>
        </w:rPr>
        <w:t xml:space="preserve">Based on the above discussion, as CSI acquired from different CSI-RS resource pools can be regarded as </w:t>
      </w:r>
      <w:r>
        <w:rPr>
          <w:rFonts w:ascii="Times New Roman" w:hAnsi="宋体"/>
          <w:sz w:val="20"/>
          <w:szCs w:val="20"/>
        </w:rPr>
        <w:t>different</w:t>
      </w:r>
      <w:r>
        <w:rPr>
          <w:rFonts w:hint="eastAsia" w:ascii="Times New Roman" w:hAnsi="宋体"/>
          <w:sz w:val="20"/>
          <w:szCs w:val="20"/>
        </w:rPr>
        <w:t xml:space="preserve"> CSI components, it can be concluded that configuring multiple CSI-RS pools is beneficial to support multi-component CSI. Therefore, we have the following proposal. </w:t>
      </w:r>
    </w:p>
    <w:p>
      <w:pPr>
        <w:snapToGrid w:val="0"/>
        <w:spacing w:before="120" w:line="240" w:lineRule="auto"/>
        <w:jc w:val="both"/>
        <w:rPr>
          <w:rFonts w:ascii="Times New Roman" w:hAnsi="宋体"/>
          <w:i/>
          <w:sz w:val="20"/>
          <w:szCs w:val="20"/>
        </w:rPr>
      </w:pPr>
      <w:r>
        <w:rPr>
          <w:rFonts w:hint="eastAsia" w:ascii="Times New Roman" w:hAnsi="宋体"/>
          <w:b/>
          <w:i/>
          <w:sz w:val="20"/>
          <w:szCs w:val="20"/>
        </w:rPr>
        <w:t xml:space="preserve">Proposal 4: </w:t>
      </w:r>
      <w:r>
        <w:rPr>
          <w:rFonts w:hint="eastAsia" w:ascii="Times New Roman" w:hAnsi="宋体"/>
          <w:i/>
          <w:sz w:val="20"/>
          <w:szCs w:val="20"/>
        </w:rPr>
        <w:t>NR supports configuring multiple subframe sets and subframe-set-specific CSI-RS resource settings.</w:t>
      </w:r>
    </w:p>
    <w:p>
      <w:pPr>
        <w:numPr>
          <w:ilvl w:val="0"/>
          <w:numId w:val="7"/>
        </w:numPr>
        <w:snapToGrid w:val="0"/>
        <w:spacing w:before="120" w:after="0" w:line="240" w:lineRule="auto"/>
        <w:ind w:left="357" w:hanging="357"/>
        <w:rPr>
          <w:rFonts w:ascii="Times New Roman" w:hAnsi="宋体"/>
          <w:b/>
          <w:szCs w:val="20"/>
        </w:rPr>
      </w:pPr>
      <w:r>
        <w:rPr>
          <w:rFonts w:hint="eastAsia" w:ascii="Times New Roman" w:hAnsi="宋体"/>
          <w:b/>
          <w:szCs w:val="20"/>
        </w:rPr>
        <w:t>Resource timing and CSI report timing</w:t>
      </w:r>
    </w:p>
    <w:p>
      <w:pPr>
        <w:snapToGrid w:val="0"/>
        <w:spacing w:before="120" w:line="240" w:lineRule="auto"/>
        <w:jc w:val="both"/>
        <w:rPr>
          <w:rFonts w:ascii="Times New Roman" w:hAnsi="Times New Roman"/>
          <w:i/>
          <w:sz w:val="20"/>
          <w:szCs w:val="20"/>
        </w:rPr>
      </w:pPr>
      <w:r>
        <w:rPr>
          <w:rFonts w:hint="eastAsia" w:ascii="Times New Roman" w:hAnsi="Times New Roman"/>
          <w:sz w:val="20"/>
          <w:szCs w:val="20"/>
        </w:rPr>
        <w:t xml:space="preserve">It has been agreed that Y should be indicated via DCI, while candidate values of Y are configured from high layer, same as slot position of NR PUSCH. Then different types of CSI, e.g., Type I CSI or Type II CSI, can be indicated with different Y values. Furthermore, as multiple CSI report settings can be configured, </w:t>
      </w:r>
      <w:r>
        <w:rPr>
          <w:rFonts w:ascii="Times New Roman" w:hAnsi="Times New Roman"/>
          <w:sz w:val="20"/>
          <w:szCs w:val="20"/>
        </w:rPr>
        <w:t>various</w:t>
      </w:r>
      <w:r>
        <w:rPr>
          <w:rFonts w:hint="eastAsia" w:ascii="Times New Roman" w:hAnsi="Times New Roman"/>
          <w:sz w:val="20"/>
          <w:szCs w:val="20"/>
        </w:rPr>
        <w:t xml:space="preserve"> CSI triggers would </w:t>
      </w:r>
      <w:r>
        <w:rPr>
          <w:rFonts w:ascii="Times New Roman" w:hAnsi="Times New Roman"/>
          <w:sz w:val="20"/>
          <w:szCs w:val="20"/>
        </w:rPr>
        <w:t>happen</w:t>
      </w:r>
      <w:r>
        <w:rPr>
          <w:rFonts w:hint="eastAsia" w:ascii="Times New Roman" w:hAnsi="Times New Roman"/>
          <w:sz w:val="20"/>
          <w:szCs w:val="20"/>
        </w:rPr>
        <w:t xml:space="preserve"> to acquire different CSI types. For example, in hybrid CSI, two CSI triggers would happen for long-term and short-term CSI separately. Another use case is to support dynamic transmission scheme transition, two separate CSI triggers exist for CL CSI and semi-OL CSI. Hence there</w:t>
      </w:r>
      <w:r>
        <w:rPr>
          <w:rFonts w:ascii="Times New Roman" w:hAnsi="Times New Roman"/>
          <w:sz w:val="20"/>
          <w:szCs w:val="20"/>
        </w:rPr>
        <w:t>’</w:t>
      </w:r>
      <w:r>
        <w:rPr>
          <w:rFonts w:hint="eastAsia" w:ascii="Times New Roman" w:hAnsi="Times New Roman"/>
          <w:sz w:val="20"/>
          <w:szCs w:val="20"/>
        </w:rPr>
        <w:t>s good chance that UE may have various numbers of CSI calculations to process, and this number can change dynamically. Then complementary to the indicated value Y, extra CSI relaxation mechanism should be specified considering the number of simultaneous CSI calculations for UE with aperiodic CSI reporting. For example, an offset number of slots can be added to Y considering the number of simultaneous CSI calculations. For aperiodic CSI report, the number of simultaneous CSI calculations depends on the number of triggered but not transmitted CSI reports.</w:t>
      </w:r>
    </w:p>
    <w:p>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hint="eastAsia" w:ascii="Times New Roman" w:hAnsi="Times New Roman"/>
          <w:b/>
          <w:i/>
          <w:sz w:val="20"/>
          <w:szCs w:val="20"/>
        </w:rPr>
        <w:t xml:space="preserve"> 5</w:t>
      </w:r>
      <w:r>
        <w:rPr>
          <w:rFonts w:ascii="Times New Roman" w:hAnsi="Times New Roman"/>
          <w:b/>
          <w:i/>
          <w:sz w:val="20"/>
          <w:szCs w:val="20"/>
        </w:rPr>
        <w:t>:</w:t>
      </w:r>
      <w:r>
        <w:rPr>
          <w:rFonts w:ascii="Times New Roman" w:hAnsi="Times New Roman"/>
          <w:i/>
          <w:sz w:val="20"/>
          <w:szCs w:val="20"/>
        </w:rPr>
        <w:t xml:space="preserve"> In NR</w:t>
      </w:r>
      <w:r>
        <w:rPr>
          <w:rFonts w:hint="eastAsia" w:ascii="Times New Roman" w:hAnsi="Times New Roman"/>
          <w:i/>
          <w:sz w:val="20"/>
          <w:szCs w:val="20"/>
        </w:rPr>
        <w:t xml:space="preserve"> CSI report timing</w:t>
      </w:r>
      <w:r>
        <w:rPr>
          <w:rFonts w:ascii="Times New Roman" w:hAnsi="Times New Roman"/>
          <w:i/>
          <w:sz w:val="20"/>
          <w:szCs w:val="20"/>
        </w:rPr>
        <w:t>,</w:t>
      </w:r>
      <w:r>
        <w:rPr>
          <w:rFonts w:hint="eastAsia" w:ascii="Times New Roman" w:hAnsi="Times New Roman"/>
          <w:i/>
          <w:sz w:val="20"/>
          <w:szCs w:val="20"/>
        </w:rPr>
        <w:t xml:space="preserve"> complementary to Y,</w:t>
      </w:r>
      <w:r>
        <w:rPr>
          <w:rFonts w:ascii="Times New Roman" w:hAnsi="Times New Roman"/>
          <w:i/>
          <w:sz w:val="20"/>
          <w:szCs w:val="20"/>
        </w:rPr>
        <w:t xml:space="preserve"> CSI relaxation mechanism </w:t>
      </w:r>
      <w:r>
        <w:rPr>
          <w:rFonts w:hint="eastAsia" w:ascii="Times New Roman" w:hAnsi="Times New Roman"/>
          <w:i/>
          <w:sz w:val="20"/>
          <w:szCs w:val="20"/>
        </w:rPr>
        <w:t>is</w:t>
      </w:r>
      <w:r>
        <w:rPr>
          <w:rFonts w:ascii="Times New Roman" w:hAnsi="Times New Roman"/>
          <w:i/>
          <w:sz w:val="20"/>
          <w:szCs w:val="20"/>
        </w:rPr>
        <w:t xml:space="preserve"> s</w:t>
      </w:r>
      <w:r>
        <w:rPr>
          <w:rFonts w:hint="eastAsia" w:ascii="Times New Roman" w:hAnsi="Times New Roman"/>
          <w:i/>
          <w:sz w:val="20"/>
          <w:szCs w:val="20"/>
        </w:rPr>
        <w:t>upported</w:t>
      </w:r>
      <w:r>
        <w:rPr>
          <w:rFonts w:ascii="Times New Roman" w:hAnsi="Times New Roman"/>
          <w:i/>
          <w:sz w:val="20"/>
          <w:szCs w:val="20"/>
        </w:rPr>
        <w:t xml:space="preserve"> considering the number of simultaneous CSI calculations for UE</w:t>
      </w:r>
      <w:r>
        <w:rPr>
          <w:rFonts w:hint="eastAsia" w:ascii="Times New Roman" w:hAnsi="Times New Roman"/>
          <w:i/>
          <w:sz w:val="20"/>
          <w:szCs w:val="20"/>
        </w:rPr>
        <w:t xml:space="preserve"> with aperiodic CSI report</w:t>
      </w:r>
      <w:r>
        <w:rPr>
          <w:rFonts w:ascii="Times New Roman" w:hAnsi="Times New Roman"/>
          <w:i/>
          <w:sz w:val="20"/>
          <w:szCs w:val="20"/>
        </w:rPr>
        <w:t>.</w:t>
      </w:r>
    </w:p>
    <w:p>
      <w:pPr>
        <w:numPr>
          <w:ilvl w:val="0"/>
          <w:numId w:val="7"/>
        </w:numPr>
        <w:snapToGrid w:val="0"/>
        <w:spacing w:before="120" w:after="0" w:line="240" w:lineRule="auto"/>
        <w:ind w:left="357" w:hanging="357"/>
        <w:rPr>
          <w:rFonts w:ascii="Times New Roman" w:hAnsi="宋体"/>
          <w:b/>
          <w:szCs w:val="20"/>
        </w:rPr>
      </w:pPr>
      <w:r>
        <w:rPr>
          <w:rFonts w:hint="eastAsia" w:ascii="Times New Roman" w:hAnsi="宋体"/>
          <w:b/>
          <w:szCs w:val="20"/>
        </w:rPr>
        <w:t>Support hybrid CSI in CSI framework</w:t>
      </w:r>
    </w:p>
    <w:p>
      <w:pPr>
        <w:snapToGrid w:val="0"/>
        <w:spacing w:before="120" w:line="240" w:lineRule="auto"/>
        <w:jc w:val="both"/>
        <w:rPr>
          <w:rFonts w:ascii="Times New Roman" w:hAnsi="宋体"/>
          <w:sz w:val="20"/>
          <w:szCs w:val="20"/>
        </w:rPr>
      </w:pPr>
      <w:r>
        <w:rPr>
          <w:rFonts w:hint="eastAsia" w:ascii="Times New Roman" w:hAnsi="宋体"/>
          <w:sz w:val="20"/>
          <w:szCs w:val="20"/>
        </w:rPr>
        <w:t>Hybrid CSI has been specified in LTE Rel-14 by supporting hybrid utilization of C</w:t>
      </w:r>
      <w:r>
        <w:rPr>
          <w:rFonts w:ascii="Times New Roman" w:hAnsi="宋体"/>
          <w:sz w:val="20"/>
          <w:szCs w:val="20"/>
        </w:rPr>
        <w:t>l</w:t>
      </w:r>
      <w:r>
        <w:rPr>
          <w:rFonts w:hint="eastAsia" w:ascii="Times New Roman" w:hAnsi="宋体"/>
          <w:sz w:val="20"/>
          <w:szCs w:val="20"/>
        </w:rPr>
        <w:t xml:space="preserve">ass A and Class B K=1, as well as hybrid utilization of Class B K&gt;1 and Class B K=1 in one CSI process. Class A or Class B K&gt;1 feedback only contains long-term CSI feedback, i.e., CRI, i1 and RI, and it is used to acquire long-term beam information for channel </w:t>
      </w:r>
      <w:r>
        <w:rPr>
          <w:rFonts w:ascii="Times New Roman" w:hAnsi="宋体"/>
          <w:sz w:val="20"/>
          <w:szCs w:val="20"/>
        </w:rPr>
        <w:t>virtualization</w:t>
      </w:r>
      <w:r>
        <w:rPr>
          <w:rFonts w:hint="eastAsia" w:ascii="Times New Roman" w:hAnsi="宋体"/>
          <w:sz w:val="20"/>
          <w:szCs w:val="20"/>
        </w:rPr>
        <w:t xml:space="preserve">. Class B K=1 feedback is used to acquire accurate beam information based on the virtualized channel. For NR, hybrid CSI can be applied to the case that long-term FDD reciprocity only gives coarse beam range. Hence it has been agreed in RAN1 January Ad Hoc meeting to support long-term CSI for one or more CSI-RS resources and short-term CSI for one CSI-RS resource. Moreover, as large number of ports lead to large CSI-RS and CSI overhead, Class A feedback can be configured with large feedback period and associated CSI-RS period. Hence the saved overhead can bring </w:t>
      </w:r>
      <w:r>
        <w:rPr>
          <w:rFonts w:ascii="Times New Roman" w:hAnsi="宋体"/>
          <w:sz w:val="20"/>
          <w:szCs w:val="20"/>
        </w:rPr>
        <w:t>performance</w:t>
      </w:r>
      <w:r>
        <w:rPr>
          <w:rFonts w:hint="eastAsia" w:ascii="Times New Roman" w:hAnsi="宋体"/>
          <w:sz w:val="20"/>
          <w:szCs w:val="20"/>
        </w:rPr>
        <w:t xml:space="preserve"> gain compared with legacy Class A approach.</w:t>
      </w:r>
    </w:p>
    <w:p>
      <w:pPr>
        <w:snapToGrid w:val="0"/>
        <w:spacing w:before="120" w:line="240" w:lineRule="auto"/>
        <w:jc w:val="both"/>
        <w:rPr>
          <w:rFonts w:ascii="Times New Roman" w:hAnsi="宋体"/>
          <w:sz w:val="20"/>
          <w:szCs w:val="20"/>
        </w:rPr>
      </w:pPr>
      <w:r>
        <w:rPr>
          <w:rFonts w:hint="eastAsia" w:ascii="Times New Roman" w:hAnsi="宋体"/>
          <w:sz w:val="20"/>
          <w:szCs w:val="20"/>
        </w:rPr>
        <w:t xml:space="preserve">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Simulation results are shown in Table I. It can be seen in Table I that with proper CSI-RS periodicity configuration, hybrid CSI achieves better performance than legacy Class A feedback. </w:t>
      </w:r>
    </w:p>
    <w:p>
      <w:pPr>
        <w:spacing w:before="120" w:line="240" w:lineRule="auto"/>
        <w:jc w:val="center"/>
        <w:rPr>
          <w:rFonts w:ascii="Times New Roman" w:hAnsi="宋体"/>
          <w:sz w:val="20"/>
          <w:szCs w:val="20"/>
        </w:rPr>
      </w:pPr>
      <w:r>
        <w:rPr>
          <w:rFonts w:hint="eastAsia" w:ascii="Times New Roman" w:hAnsi="宋体"/>
          <w:sz w:val="20"/>
          <w:szCs w:val="20"/>
        </w:rPr>
        <w:t>Table I Performance of different NP CSI-RS periodicities for hybrid CSI</w:t>
      </w:r>
    </w:p>
    <w:tbl>
      <w:tblPr>
        <w:tblStyle w:val="21"/>
        <w:tblW w:w="844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2"/>
        <w:gridCol w:w="905"/>
        <w:gridCol w:w="1144"/>
        <w:gridCol w:w="1144"/>
        <w:gridCol w:w="1144"/>
        <w:gridCol w:w="1144"/>
        <w:gridCol w:w="1144"/>
        <w:gridCol w:w="11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72" w:type="dxa"/>
            <w:shd w:val="clear" w:color="auto" w:fill="FABF8F" w:themeFill="accent6" w:themeFillTint="99"/>
          </w:tcPr>
          <w:p>
            <w:pPr>
              <w:spacing w:before="120" w:line="240" w:lineRule="auto"/>
              <w:jc w:val="both"/>
              <w:rPr>
                <w:rFonts w:ascii="Times New Roman" w:hAnsi="宋体"/>
                <w:sz w:val="20"/>
                <w:szCs w:val="20"/>
              </w:rPr>
            </w:pPr>
          </w:p>
        </w:tc>
        <w:tc>
          <w:tcPr>
            <w:tcW w:w="905"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T1=5ms</w:t>
            </w:r>
          </w:p>
          <w:p>
            <w:pPr>
              <w:spacing w:before="120" w:line="240" w:lineRule="auto"/>
              <w:jc w:val="both"/>
              <w:rPr>
                <w:rFonts w:ascii="Times New Roman" w:hAnsi="宋体"/>
                <w:sz w:val="20"/>
                <w:szCs w:val="20"/>
              </w:rPr>
            </w:pPr>
            <w:r>
              <w:rPr>
                <w:rFonts w:ascii="Times New Roman" w:hAnsi="宋体"/>
                <w:sz w:val="20"/>
                <w:szCs w:val="20"/>
              </w:rPr>
              <w:t>B</w:t>
            </w:r>
            <w:r>
              <w:rPr>
                <w:rFonts w:hint="eastAsia" w:ascii="Times New Roman" w:hAnsi="宋体"/>
                <w:sz w:val="20"/>
                <w:szCs w:val="20"/>
              </w:rPr>
              <w:t>aseline</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T1=5ms</w:t>
            </w:r>
          </w:p>
          <w:p>
            <w:pPr>
              <w:spacing w:before="120" w:line="240" w:lineRule="auto"/>
              <w:jc w:val="both"/>
              <w:rPr>
                <w:rFonts w:ascii="Times New Roman" w:hAnsi="宋体"/>
                <w:sz w:val="20"/>
                <w:szCs w:val="20"/>
              </w:rPr>
            </w:pPr>
            <w:r>
              <w:rPr>
                <w:rFonts w:hint="eastAsia" w:ascii="Times New Roman" w:hAnsi="宋体"/>
                <w:sz w:val="20"/>
                <w:szCs w:val="20"/>
              </w:rPr>
              <w:t>Hybrid CSI</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T1=10ms</w:t>
            </w:r>
          </w:p>
          <w:p>
            <w:pPr>
              <w:spacing w:before="120" w:line="240" w:lineRule="auto"/>
              <w:jc w:val="both"/>
              <w:rPr>
                <w:rFonts w:ascii="Times New Roman" w:hAnsi="宋体"/>
                <w:sz w:val="20"/>
                <w:szCs w:val="20"/>
              </w:rPr>
            </w:pPr>
            <w:r>
              <w:rPr>
                <w:rFonts w:hint="eastAsia" w:ascii="Times New Roman" w:hAnsi="宋体"/>
                <w:sz w:val="20"/>
                <w:szCs w:val="20"/>
              </w:rPr>
              <w:t>Hybrid CSI</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T1=20ms</w:t>
            </w:r>
          </w:p>
          <w:p>
            <w:pPr>
              <w:spacing w:before="120" w:line="240" w:lineRule="auto"/>
              <w:jc w:val="both"/>
              <w:rPr>
                <w:rFonts w:ascii="Times New Roman" w:hAnsi="宋体"/>
                <w:sz w:val="20"/>
                <w:szCs w:val="20"/>
              </w:rPr>
            </w:pPr>
            <w:r>
              <w:rPr>
                <w:rFonts w:hint="eastAsia" w:ascii="Times New Roman" w:hAnsi="宋体"/>
                <w:sz w:val="20"/>
                <w:szCs w:val="20"/>
              </w:rPr>
              <w:t>Hybrid CSI</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T1=50ms</w:t>
            </w:r>
          </w:p>
          <w:p>
            <w:pPr>
              <w:spacing w:before="120" w:line="240" w:lineRule="auto"/>
              <w:jc w:val="both"/>
              <w:rPr>
                <w:rFonts w:ascii="Times New Roman" w:hAnsi="宋体"/>
                <w:sz w:val="20"/>
                <w:szCs w:val="20"/>
              </w:rPr>
            </w:pPr>
            <w:r>
              <w:rPr>
                <w:rFonts w:hint="eastAsia" w:ascii="Times New Roman" w:hAnsi="宋体"/>
                <w:sz w:val="20"/>
                <w:szCs w:val="20"/>
              </w:rPr>
              <w:t>Hybrid CSI</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T1=100ms</w:t>
            </w:r>
          </w:p>
          <w:p>
            <w:pPr>
              <w:spacing w:before="120" w:line="240" w:lineRule="auto"/>
              <w:jc w:val="both"/>
              <w:rPr>
                <w:rFonts w:ascii="Times New Roman" w:hAnsi="宋体"/>
                <w:sz w:val="20"/>
                <w:szCs w:val="20"/>
              </w:rPr>
            </w:pPr>
            <w:r>
              <w:rPr>
                <w:rFonts w:hint="eastAsia" w:ascii="Times New Roman" w:hAnsi="宋体"/>
                <w:sz w:val="20"/>
                <w:szCs w:val="20"/>
              </w:rPr>
              <w:t>Hybrid CSI</w:t>
            </w:r>
          </w:p>
        </w:tc>
        <w:tc>
          <w:tcPr>
            <w:tcW w:w="1144"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T1=200ms</w:t>
            </w:r>
          </w:p>
          <w:p>
            <w:pPr>
              <w:spacing w:before="120" w:line="240" w:lineRule="auto"/>
              <w:jc w:val="both"/>
              <w:rPr>
                <w:rFonts w:ascii="Times New Roman" w:hAnsi="宋体"/>
                <w:sz w:val="20"/>
                <w:szCs w:val="20"/>
              </w:rPr>
            </w:pPr>
            <w:r>
              <w:rPr>
                <w:rFonts w:hint="eastAsia" w:ascii="Times New Roman" w:hAnsi="宋体"/>
                <w:sz w:val="20"/>
                <w:szCs w:val="20"/>
              </w:rPr>
              <w:t>Hybrid CSI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72"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RU</w:t>
            </w:r>
          </w:p>
        </w:tc>
        <w:tc>
          <w:tcPr>
            <w:tcW w:w="905" w:type="dxa"/>
            <w:vAlign w:val="center"/>
          </w:tcPr>
          <w:p>
            <w:pPr>
              <w:spacing w:before="120" w:line="240" w:lineRule="auto"/>
              <w:jc w:val="both"/>
              <w:rPr>
                <w:rFonts w:ascii="Times New Roman" w:hAnsi="宋体"/>
                <w:sz w:val="20"/>
                <w:szCs w:val="20"/>
              </w:rPr>
            </w:pPr>
            <w:r>
              <w:rPr>
                <w:rFonts w:ascii="Times New Roman" w:hAnsi="宋体"/>
                <w:sz w:val="20"/>
                <w:szCs w:val="20"/>
              </w:rPr>
              <w:t>0.47</w:t>
            </w:r>
            <w:r>
              <w:rPr>
                <w:rFonts w:hint="eastAsia" w:ascii="Times New Roman" w:hAnsi="宋体"/>
                <w:sz w:val="20"/>
                <w:szCs w:val="20"/>
              </w:rPr>
              <w:t>4</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0.45</w:t>
            </w:r>
            <w:r>
              <w:rPr>
                <w:rFonts w:hint="eastAsia" w:ascii="Times New Roman" w:hAnsi="宋体"/>
                <w:sz w:val="20"/>
                <w:szCs w:val="20"/>
              </w:rPr>
              <w:t>8</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0.44</w:t>
            </w:r>
            <w:r>
              <w:rPr>
                <w:rFonts w:hint="eastAsia" w:ascii="Times New Roman" w:hAnsi="宋体"/>
                <w:sz w:val="20"/>
                <w:szCs w:val="20"/>
              </w:rPr>
              <w:t>6</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0.45</w:t>
            </w:r>
            <w:r>
              <w:rPr>
                <w:rFonts w:hint="eastAsia" w:ascii="Times New Roman" w:hAnsi="宋体"/>
                <w:sz w:val="20"/>
                <w:szCs w:val="20"/>
              </w:rPr>
              <w:t>7</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0.481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72" w:type="dxa"/>
            <w:shd w:val="clear" w:color="auto" w:fill="FABF8F" w:themeFill="accent6" w:themeFillTint="99"/>
          </w:tcPr>
          <w:p>
            <w:pPr>
              <w:spacing w:before="120" w:line="240" w:lineRule="auto"/>
              <w:jc w:val="both"/>
              <w:rPr>
                <w:rFonts w:ascii="Times New Roman" w:hAnsi="宋体"/>
                <w:sz w:val="20"/>
                <w:szCs w:val="20"/>
              </w:rPr>
            </w:pPr>
            <w:r>
              <w:rPr>
                <w:rFonts w:ascii="Times New Roman" w:hAnsi="宋体"/>
                <w:sz w:val="20"/>
                <w:szCs w:val="20"/>
              </w:rPr>
              <w:t>M</w:t>
            </w:r>
            <w:r>
              <w:rPr>
                <w:rFonts w:hint="eastAsia" w:ascii="Times New Roman" w:hAnsi="宋体"/>
                <w:sz w:val="20"/>
                <w:szCs w:val="20"/>
              </w:rPr>
              <w:t>ean</w:t>
            </w:r>
          </w:p>
        </w:tc>
        <w:tc>
          <w:tcPr>
            <w:tcW w:w="905" w:type="dxa"/>
            <w:vAlign w:val="center"/>
          </w:tcPr>
          <w:p>
            <w:pPr>
              <w:spacing w:before="120" w:line="240" w:lineRule="auto"/>
              <w:jc w:val="both"/>
              <w:rPr>
                <w:rFonts w:ascii="Times New Roman" w:hAnsi="宋体"/>
                <w:sz w:val="20"/>
                <w:szCs w:val="20"/>
              </w:rPr>
            </w:pPr>
            <w:r>
              <w:rPr>
                <w:rFonts w:ascii="Times New Roman" w:hAnsi="宋体"/>
                <w:sz w:val="20"/>
                <w:szCs w:val="20"/>
              </w:rPr>
              <w:t>28.69</w:t>
            </w:r>
          </w:p>
          <w:p>
            <w:pPr>
              <w:spacing w:before="120" w:line="240" w:lineRule="auto"/>
              <w:jc w:val="both"/>
              <w:rPr>
                <w:rFonts w:ascii="Times New Roman" w:hAnsi="宋体"/>
                <w:sz w:val="20"/>
                <w:szCs w:val="20"/>
              </w:rPr>
            </w:pPr>
            <w:r>
              <w:rPr>
                <w:rFonts w:hint="eastAsia" w:ascii="Times New Roman" w:hAnsi="宋体"/>
                <w:sz w:val="20"/>
                <w:szCs w:val="20"/>
              </w:rPr>
              <w:t>(0%)</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28.64</w:t>
            </w:r>
          </w:p>
          <w:p>
            <w:pPr>
              <w:spacing w:before="120" w:line="240" w:lineRule="auto"/>
              <w:jc w:val="both"/>
              <w:rPr>
                <w:rFonts w:ascii="Times New Roman" w:hAnsi="宋体"/>
                <w:sz w:val="20"/>
                <w:szCs w:val="20"/>
              </w:rPr>
            </w:pPr>
            <w:r>
              <w:rPr>
                <w:rFonts w:hint="eastAsia" w:ascii="Times New Roman" w:hAnsi="宋体"/>
                <w:sz w:val="20"/>
                <w:szCs w:val="20"/>
              </w:rPr>
              <w:t>(-0.17%)</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30.2</w:t>
            </w:r>
            <w:r>
              <w:rPr>
                <w:rFonts w:hint="eastAsia" w:ascii="Times New Roman" w:hAnsi="宋体"/>
                <w:sz w:val="20"/>
                <w:szCs w:val="20"/>
              </w:rPr>
              <w:t>7</w:t>
            </w:r>
          </w:p>
          <w:p>
            <w:pPr>
              <w:spacing w:before="120" w:line="240" w:lineRule="auto"/>
              <w:jc w:val="both"/>
              <w:rPr>
                <w:rFonts w:ascii="Times New Roman" w:hAnsi="宋体"/>
                <w:sz w:val="20"/>
                <w:szCs w:val="20"/>
              </w:rPr>
            </w:pPr>
            <w:r>
              <w:rPr>
                <w:rFonts w:hint="eastAsia" w:ascii="Times New Roman" w:hAnsi="宋体"/>
                <w:sz w:val="20"/>
                <w:szCs w:val="20"/>
              </w:rPr>
              <w:t>(5.51%)</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31.15</w:t>
            </w:r>
          </w:p>
          <w:p>
            <w:pPr>
              <w:spacing w:before="120" w:line="240" w:lineRule="auto"/>
              <w:jc w:val="both"/>
              <w:rPr>
                <w:rFonts w:ascii="Times New Roman" w:hAnsi="宋体"/>
                <w:sz w:val="20"/>
                <w:szCs w:val="20"/>
              </w:rPr>
            </w:pPr>
            <w:r>
              <w:rPr>
                <w:rFonts w:hint="eastAsia" w:ascii="Times New Roman" w:hAnsi="宋体"/>
                <w:sz w:val="20"/>
                <w:szCs w:val="20"/>
              </w:rPr>
              <w:t>(8.57%)</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31.</w:t>
            </w:r>
            <w:r>
              <w:rPr>
                <w:rFonts w:hint="eastAsia" w:ascii="Times New Roman" w:hAnsi="宋体"/>
                <w:sz w:val="20"/>
                <w:szCs w:val="20"/>
              </w:rPr>
              <w:t>18</w:t>
            </w:r>
          </w:p>
          <w:p>
            <w:pPr>
              <w:spacing w:before="120" w:line="240" w:lineRule="auto"/>
              <w:jc w:val="both"/>
              <w:rPr>
                <w:rFonts w:ascii="Times New Roman" w:hAnsi="宋体"/>
                <w:color w:val="FF0000"/>
                <w:sz w:val="20"/>
                <w:szCs w:val="20"/>
              </w:rPr>
            </w:pPr>
            <w:r>
              <w:rPr>
                <w:rFonts w:hint="eastAsia" w:ascii="Times New Roman" w:hAnsi="宋体"/>
                <w:color w:val="FF0000"/>
                <w:sz w:val="20"/>
                <w:szCs w:val="20"/>
              </w:rPr>
              <w:t>(8.68%)</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29.94</w:t>
            </w:r>
          </w:p>
          <w:p>
            <w:pPr>
              <w:spacing w:before="120" w:line="240" w:lineRule="auto"/>
              <w:jc w:val="both"/>
              <w:rPr>
                <w:rFonts w:ascii="Times New Roman" w:hAnsi="宋体"/>
                <w:sz w:val="20"/>
                <w:szCs w:val="20"/>
              </w:rPr>
            </w:pPr>
            <w:r>
              <w:rPr>
                <w:rFonts w:hint="eastAsia" w:ascii="Times New Roman" w:hAnsi="宋体"/>
                <w:sz w:val="20"/>
                <w:szCs w:val="20"/>
              </w:rPr>
              <w:t>(4.36%)</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28.29</w:t>
            </w:r>
          </w:p>
          <w:p>
            <w:pPr>
              <w:spacing w:before="120" w:line="240" w:lineRule="auto"/>
              <w:jc w:val="both"/>
              <w:rPr>
                <w:rFonts w:ascii="Times New Roman" w:hAnsi="宋体"/>
                <w:sz w:val="20"/>
                <w:szCs w:val="20"/>
              </w:rPr>
            </w:pPr>
            <w:r>
              <w:rPr>
                <w:rFonts w:hint="eastAsia" w:ascii="Times New Roman" w:hAnsi="宋体"/>
                <w:sz w:val="20"/>
                <w:szCs w:val="20"/>
              </w:rPr>
              <w:t>(-1.39%)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72"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5%</w:t>
            </w:r>
          </w:p>
        </w:tc>
        <w:tc>
          <w:tcPr>
            <w:tcW w:w="905" w:type="dxa"/>
            <w:vAlign w:val="center"/>
          </w:tcPr>
          <w:p>
            <w:pPr>
              <w:spacing w:before="120" w:line="240" w:lineRule="auto"/>
              <w:jc w:val="both"/>
              <w:rPr>
                <w:rFonts w:ascii="Times New Roman" w:hAnsi="宋体"/>
                <w:sz w:val="20"/>
                <w:szCs w:val="20"/>
              </w:rPr>
            </w:pPr>
            <w:r>
              <w:rPr>
                <w:rFonts w:ascii="Times New Roman" w:hAnsi="宋体"/>
                <w:sz w:val="20"/>
                <w:szCs w:val="20"/>
              </w:rPr>
              <w:t>7.7</w:t>
            </w:r>
            <w:r>
              <w:rPr>
                <w:rFonts w:hint="eastAsia" w:ascii="Times New Roman" w:hAnsi="宋体"/>
                <w:sz w:val="20"/>
                <w:szCs w:val="20"/>
              </w:rPr>
              <w:t>1</w:t>
            </w:r>
          </w:p>
          <w:p>
            <w:pPr>
              <w:spacing w:before="120" w:line="240" w:lineRule="auto"/>
              <w:jc w:val="both"/>
              <w:rPr>
                <w:rFonts w:ascii="Times New Roman" w:hAnsi="宋体"/>
                <w:sz w:val="20"/>
                <w:szCs w:val="20"/>
              </w:rPr>
            </w:pPr>
            <w:r>
              <w:rPr>
                <w:rFonts w:hint="eastAsia" w:ascii="Times New Roman" w:hAnsi="宋体"/>
                <w:sz w:val="20"/>
                <w:szCs w:val="20"/>
              </w:rPr>
              <w:t>(0%)</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7.4</w:t>
            </w:r>
            <w:r>
              <w:rPr>
                <w:rFonts w:hint="eastAsia" w:ascii="Times New Roman" w:hAnsi="宋体"/>
                <w:sz w:val="20"/>
                <w:szCs w:val="20"/>
              </w:rPr>
              <w:t>8</w:t>
            </w:r>
          </w:p>
          <w:p>
            <w:pPr>
              <w:spacing w:before="120" w:line="240" w:lineRule="auto"/>
              <w:jc w:val="both"/>
              <w:rPr>
                <w:rFonts w:ascii="Times New Roman" w:hAnsi="宋体"/>
                <w:sz w:val="20"/>
                <w:szCs w:val="20"/>
              </w:rPr>
            </w:pPr>
            <w:r>
              <w:rPr>
                <w:rFonts w:hint="eastAsia" w:ascii="Times New Roman" w:hAnsi="宋体"/>
                <w:sz w:val="20"/>
                <w:szCs w:val="20"/>
              </w:rPr>
              <w:t>(-2.98%)</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8.21</w:t>
            </w:r>
          </w:p>
          <w:p>
            <w:pPr>
              <w:spacing w:before="120" w:line="240" w:lineRule="auto"/>
              <w:jc w:val="both"/>
              <w:rPr>
                <w:rFonts w:ascii="Times New Roman" w:hAnsi="宋体"/>
                <w:sz w:val="20"/>
                <w:szCs w:val="20"/>
              </w:rPr>
            </w:pPr>
            <w:r>
              <w:rPr>
                <w:rFonts w:hint="eastAsia" w:ascii="Times New Roman" w:hAnsi="宋体"/>
                <w:sz w:val="20"/>
                <w:szCs w:val="20"/>
              </w:rPr>
              <w:t>(6.49%)</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8.6</w:t>
            </w:r>
            <w:r>
              <w:rPr>
                <w:rFonts w:hint="eastAsia" w:ascii="Times New Roman" w:hAnsi="宋体"/>
                <w:sz w:val="20"/>
                <w:szCs w:val="20"/>
              </w:rPr>
              <w:t>4</w:t>
            </w:r>
          </w:p>
          <w:p>
            <w:pPr>
              <w:spacing w:before="120" w:line="240" w:lineRule="auto"/>
              <w:jc w:val="both"/>
              <w:rPr>
                <w:rFonts w:ascii="Times New Roman" w:hAnsi="宋体"/>
                <w:sz w:val="20"/>
                <w:szCs w:val="20"/>
              </w:rPr>
            </w:pPr>
            <w:r>
              <w:rPr>
                <w:rFonts w:hint="eastAsia" w:ascii="Times New Roman" w:hAnsi="宋体"/>
                <w:sz w:val="20"/>
                <w:szCs w:val="20"/>
              </w:rPr>
              <w:t>(12.06%)</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8.83</w:t>
            </w:r>
          </w:p>
          <w:p>
            <w:pPr>
              <w:spacing w:before="120" w:line="240" w:lineRule="auto"/>
              <w:jc w:val="both"/>
              <w:rPr>
                <w:rFonts w:ascii="Times New Roman" w:hAnsi="宋体"/>
                <w:color w:val="FF0000"/>
                <w:sz w:val="20"/>
                <w:szCs w:val="20"/>
              </w:rPr>
            </w:pPr>
            <w:r>
              <w:rPr>
                <w:rFonts w:hint="eastAsia" w:ascii="Times New Roman" w:hAnsi="宋体"/>
                <w:color w:val="FF0000"/>
                <w:sz w:val="20"/>
                <w:szCs w:val="20"/>
              </w:rPr>
              <w:t>(14.53%)</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8.49</w:t>
            </w:r>
          </w:p>
          <w:p>
            <w:pPr>
              <w:spacing w:before="120" w:line="240" w:lineRule="auto"/>
              <w:jc w:val="both"/>
              <w:rPr>
                <w:rFonts w:ascii="Times New Roman" w:hAnsi="宋体"/>
                <w:sz w:val="20"/>
                <w:szCs w:val="20"/>
              </w:rPr>
            </w:pPr>
            <w:r>
              <w:rPr>
                <w:rFonts w:hint="eastAsia" w:ascii="Times New Roman" w:hAnsi="宋体"/>
                <w:sz w:val="20"/>
                <w:szCs w:val="20"/>
              </w:rPr>
              <w:t>(10.12%)</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7.38</w:t>
            </w:r>
          </w:p>
          <w:p>
            <w:pPr>
              <w:spacing w:before="120" w:line="240" w:lineRule="auto"/>
              <w:jc w:val="both"/>
              <w:rPr>
                <w:rFonts w:ascii="Times New Roman" w:hAnsi="宋体"/>
                <w:sz w:val="20"/>
                <w:szCs w:val="20"/>
              </w:rPr>
            </w:pPr>
            <w:r>
              <w:rPr>
                <w:rFonts w:hint="eastAsia" w:ascii="Times New Roman" w:hAnsi="宋体"/>
                <w:sz w:val="20"/>
                <w:szCs w:val="20"/>
              </w:rPr>
              <w:t>(-4.28%)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672" w:type="dxa"/>
            <w:shd w:val="clear" w:color="auto" w:fill="FABF8F" w:themeFill="accent6" w:themeFillTint="99"/>
          </w:tcPr>
          <w:p>
            <w:pPr>
              <w:spacing w:before="120" w:line="240" w:lineRule="auto"/>
              <w:jc w:val="both"/>
              <w:rPr>
                <w:rFonts w:ascii="Times New Roman" w:hAnsi="宋体"/>
                <w:sz w:val="20"/>
                <w:szCs w:val="20"/>
              </w:rPr>
            </w:pPr>
            <w:r>
              <w:rPr>
                <w:rFonts w:hint="eastAsia" w:ascii="Times New Roman" w:hAnsi="宋体"/>
                <w:sz w:val="20"/>
                <w:szCs w:val="20"/>
              </w:rPr>
              <w:t>50%</w:t>
            </w:r>
          </w:p>
        </w:tc>
        <w:tc>
          <w:tcPr>
            <w:tcW w:w="905" w:type="dxa"/>
            <w:vAlign w:val="center"/>
          </w:tcPr>
          <w:p>
            <w:pPr>
              <w:spacing w:before="120" w:line="240" w:lineRule="auto"/>
              <w:jc w:val="both"/>
              <w:rPr>
                <w:rFonts w:ascii="Times New Roman" w:hAnsi="宋体"/>
                <w:sz w:val="20"/>
                <w:szCs w:val="20"/>
              </w:rPr>
            </w:pPr>
            <w:r>
              <w:rPr>
                <w:rFonts w:ascii="Times New Roman" w:hAnsi="宋体"/>
                <w:sz w:val="20"/>
                <w:szCs w:val="20"/>
              </w:rPr>
              <w:t>26.49</w:t>
            </w:r>
          </w:p>
          <w:p>
            <w:pPr>
              <w:spacing w:before="120" w:line="240" w:lineRule="auto"/>
              <w:jc w:val="both"/>
              <w:rPr>
                <w:rFonts w:ascii="Times New Roman" w:hAnsi="宋体"/>
                <w:sz w:val="20"/>
                <w:szCs w:val="20"/>
              </w:rPr>
            </w:pPr>
            <w:r>
              <w:rPr>
                <w:rFonts w:hint="eastAsia" w:ascii="Times New Roman" w:hAnsi="宋体"/>
                <w:sz w:val="20"/>
                <w:szCs w:val="20"/>
              </w:rPr>
              <w:t>(0%)</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25.64</w:t>
            </w:r>
          </w:p>
          <w:p>
            <w:pPr>
              <w:spacing w:before="120" w:line="240" w:lineRule="auto"/>
              <w:jc w:val="both"/>
              <w:rPr>
                <w:rFonts w:ascii="Times New Roman" w:hAnsi="宋体"/>
                <w:sz w:val="20"/>
                <w:szCs w:val="20"/>
              </w:rPr>
            </w:pPr>
            <w:r>
              <w:rPr>
                <w:rFonts w:hint="eastAsia" w:ascii="Times New Roman" w:hAnsi="宋体"/>
                <w:sz w:val="20"/>
                <w:szCs w:val="20"/>
              </w:rPr>
              <w:t>(-3.21%)</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27.97</w:t>
            </w:r>
          </w:p>
          <w:p>
            <w:pPr>
              <w:spacing w:before="120" w:line="240" w:lineRule="auto"/>
              <w:jc w:val="both"/>
              <w:rPr>
                <w:rFonts w:ascii="Times New Roman" w:hAnsi="宋体"/>
                <w:sz w:val="20"/>
                <w:szCs w:val="20"/>
              </w:rPr>
            </w:pPr>
            <w:r>
              <w:rPr>
                <w:rFonts w:hint="eastAsia" w:ascii="Times New Roman" w:hAnsi="宋体"/>
                <w:sz w:val="20"/>
                <w:szCs w:val="20"/>
              </w:rPr>
              <w:t>(5.59%)</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28.57</w:t>
            </w:r>
          </w:p>
          <w:p>
            <w:pPr>
              <w:spacing w:before="120" w:line="240" w:lineRule="auto"/>
              <w:jc w:val="both"/>
              <w:rPr>
                <w:rFonts w:ascii="Times New Roman" w:hAnsi="宋体"/>
                <w:sz w:val="20"/>
                <w:szCs w:val="20"/>
              </w:rPr>
            </w:pPr>
            <w:r>
              <w:rPr>
                <w:rFonts w:hint="eastAsia" w:ascii="Times New Roman" w:hAnsi="宋体"/>
                <w:sz w:val="20"/>
                <w:szCs w:val="20"/>
              </w:rPr>
              <w:t>(7.85%)</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28.7</w:t>
            </w:r>
            <w:r>
              <w:rPr>
                <w:rFonts w:hint="eastAsia" w:ascii="Times New Roman" w:hAnsi="宋体"/>
                <w:sz w:val="20"/>
                <w:szCs w:val="20"/>
              </w:rPr>
              <w:t>8</w:t>
            </w:r>
          </w:p>
          <w:p>
            <w:pPr>
              <w:spacing w:before="120" w:line="240" w:lineRule="auto"/>
              <w:jc w:val="both"/>
              <w:rPr>
                <w:rFonts w:ascii="Times New Roman" w:hAnsi="宋体"/>
                <w:color w:val="FF0000"/>
                <w:sz w:val="20"/>
                <w:szCs w:val="20"/>
              </w:rPr>
            </w:pPr>
            <w:r>
              <w:rPr>
                <w:rFonts w:hint="eastAsia" w:ascii="Times New Roman" w:hAnsi="宋体"/>
                <w:color w:val="FF0000"/>
                <w:sz w:val="20"/>
                <w:szCs w:val="20"/>
              </w:rPr>
              <w:t>(8.64%)</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27.0</w:t>
            </w:r>
            <w:r>
              <w:rPr>
                <w:rFonts w:hint="eastAsia" w:ascii="Times New Roman" w:hAnsi="宋体"/>
                <w:sz w:val="20"/>
                <w:szCs w:val="20"/>
              </w:rPr>
              <w:t>3</w:t>
            </w:r>
          </w:p>
          <w:p>
            <w:pPr>
              <w:spacing w:before="120" w:line="240" w:lineRule="auto"/>
              <w:jc w:val="both"/>
              <w:rPr>
                <w:rFonts w:ascii="Times New Roman" w:hAnsi="宋体"/>
                <w:sz w:val="20"/>
                <w:szCs w:val="20"/>
              </w:rPr>
            </w:pPr>
            <w:r>
              <w:rPr>
                <w:rFonts w:hint="eastAsia" w:ascii="Times New Roman" w:hAnsi="宋体"/>
                <w:sz w:val="20"/>
                <w:szCs w:val="20"/>
              </w:rPr>
              <w:t>(2.04%)</w:t>
            </w:r>
          </w:p>
        </w:tc>
        <w:tc>
          <w:tcPr>
            <w:tcW w:w="1144" w:type="dxa"/>
            <w:vAlign w:val="center"/>
          </w:tcPr>
          <w:p>
            <w:pPr>
              <w:spacing w:before="120" w:line="240" w:lineRule="auto"/>
              <w:jc w:val="both"/>
              <w:rPr>
                <w:rFonts w:ascii="Times New Roman" w:hAnsi="宋体"/>
                <w:sz w:val="20"/>
                <w:szCs w:val="20"/>
              </w:rPr>
            </w:pPr>
            <w:r>
              <w:rPr>
                <w:rFonts w:ascii="Times New Roman" w:hAnsi="宋体"/>
                <w:sz w:val="20"/>
                <w:szCs w:val="20"/>
              </w:rPr>
              <w:t>24.84</w:t>
            </w:r>
          </w:p>
          <w:p>
            <w:pPr>
              <w:spacing w:before="120" w:line="240" w:lineRule="auto"/>
              <w:jc w:val="both"/>
              <w:rPr>
                <w:rFonts w:ascii="Times New Roman" w:hAnsi="宋体"/>
                <w:sz w:val="20"/>
                <w:szCs w:val="20"/>
              </w:rPr>
            </w:pPr>
            <w:r>
              <w:rPr>
                <w:rFonts w:hint="eastAsia" w:ascii="Times New Roman" w:hAnsi="宋体"/>
                <w:sz w:val="20"/>
                <w:szCs w:val="20"/>
              </w:rPr>
              <w:t>(-6.22%)</w:t>
            </w:r>
          </w:p>
        </w:tc>
      </w:tr>
    </w:tbl>
    <w:p>
      <w:pPr>
        <w:spacing w:before="120" w:line="240" w:lineRule="auto"/>
        <w:jc w:val="both"/>
        <w:rPr>
          <w:rFonts w:ascii="Times New Roman" w:hAnsi="宋体"/>
          <w:sz w:val="20"/>
          <w:szCs w:val="20"/>
        </w:rPr>
      </w:pPr>
      <w:r>
        <w:rPr>
          <w:rFonts w:hint="eastAsia" w:ascii="Times New Roman" w:hAnsi="宋体"/>
          <w:sz w:val="20"/>
          <w:szCs w:val="20"/>
        </w:rPr>
        <w:t>Based on Table I, we have the following observation.</w:t>
      </w:r>
    </w:p>
    <w:p>
      <w:pPr>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hint="eastAsia" w:ascii="Times New Roman" w:hAnsi="宋体"/>
          <w:i/>
          <w:sz w:val="20"/>
          <w:szCs w:val="20"/>
        </w:rPr>
        <w:t>CSI-RS resources associated with long-term CSI and short-term CSI</w:t>
      </w:r>
      <w:r>
        <w:rPr>
          <w:rFonts w:ascii="Times New Roman" w:hAnsi="宋体"/>
          <w:i/>
          <w:sz w:val="20"/>
          <w:szCs w:val="20"/>
        </w:rPr>
        <w:t xml:space="preserve"> helps to achieve better gain for hybrid CSI.</w:t>
      </w:r>
    </w:p>
    <w:p>
      <w:pPr>
        <w:snapToGrid w:val="0"/>
        <w:spacing w:before="120" w:line="240" w:lineRule="auto"/>
        <w:jc w:val="both"/>
        <w:rPr>
          <w:rFonts w:ascii="Times New Roman" w:hAnsi="宋体"/>
          <w:sz w:val="20"/>
          <w:szCs w:val="20"/>
        </w:rPr>
      </w:pPr>
      <w:r>
        <w:rPr>
          <w:rFonts w:hint="eastAsia" w:ascii="Times New Roman" w:hAnsi="宋体"/>
          <w:sz w:val="20"/>
          <w:szCs w:val="20"/>
        </w:rPr>
        <w:t xml:space="preserve">In order to support hybrid CSI in NR CSI framework, two different approaches can be identified. The first approach is to independently configure CSI-RS resources and CSI reporting associated with long-term and short-term CSI in two resource or report settings. Another approach is to </w:t>
      </w:r>
      <w:r>
        <w:rPr>
          <w:rFonts w:ascii="Times New Roman" w:hAnsi="宋体"/>
          <w:sz w:val="20"/>
          <w:szCs w:val="20"/>
        </w:rPr>
        <w:t>jointly</w:t>
      </w:r>
      <w:r>
        <w:rPr>
          <w:rFonts w:hint="eastAsia" w:ascii="Times New Roman" w:hAnsi="宋体"/>
          <w:sz w:val="20"/>
          <w:szCs w:val="20"/>
        </w:rPr>
        <w:t xml:space="preserve"> configure CSI-RS resources and CSI reporting associated with long-term and short-term CSI in one resource or report setting. Based on the above observation, the optimization of CSI-RS periodicity relationship is beneficial, e.g., periodicity of the CSI-RS associated with long-term CSI can be N times of the CSI-RS associated with short-term CSI. Hence in order to reflect this relationship, joint configuration should be supported. Moreover, as the CSI-RS associated with short-term CSI is usually UE-specific, using aperiodic CSI-RS for short-term CSI also helps to reduce CSI-RS overhead and endow more flexibility for beam refinement.</w:t>
      </w:r>
    </w:p>
    <w:p>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hint="eastAsia" w:ascii="Times New Roman" w:hAnsi="宋体"/>
          <w:b/>
          <w:i/>
          <w:sz w:val="20"/>
          <w:szCs w:val="20"/>
        </w:rPr>
        <w:t>6</w:t>
      </w:r>
      <w:r>
        <w:rPr>
          <w:rFonts w:ascii="Times New Roman" w:hAnsi="宋体"/>
          <w:b/>
          <w:i/>
          <w:sz w:val="20"/>
          <w:szCs w:val="20"/>
        </w:rPr>
        <w:t>:</w:t>
      </w:r>
      <w:r>
        <w:rPr>
          <w:rFonts w:ascii="Times New Roman" w:hAnsi="宋体"/>
          <w:i/>
          <w:sz w:val="20"/>
          <w:szCs w:val="20"/>
        </w:rPr>
        <w:t xml:space="preserve"> </w:t>
      </w:r>
      <w:r>
        <w:rPr>
          <w:rFonts w:hint="eastAsia" w:ascii="Times New Roman" w:hAnsi="宋体"/>
          <w:i/>
          <w:sz w:val="20"/>
          <w:szCs w:val="20"/>
        </w:rPr>
        <w:t>For</w:t>
      </w:r>
      <w:r>
        <w:rPr>
          <w:rFonts w:ascii="Times New Roman" w:hAnsi="宋体"/>
          <w:i/>
          <w:sz w:val="20"/>
          <w:szCs w:val="20"/>
        </w:rPr>
        <w:t xml:space="preserve"> hybrid CSI in NR MIMO, </w:t>
      </w:r>
      <w:r>
        <w:rPr>
          <w:rFonts w:hint="eastAsia" w:ascii="Times New Roman" w:hAnsi="宋体"/>
          <w:i/>
          <w:sz w:val="20"/>
          <w:szCs w:val="20"/>
        </w:rPr>
        <w:t xml:space="preserve">the </w:t>
      </w:r>
      <w:r>
        <w:rPr>
          <w:rFonts w:ascii="Times New Roman" w:hAnsi="宋体"/>
          <w:i/>
          <w:sz w:val="20"/>
          <w:szCs w:val="20"/>
        </w:rPr>
        <w:t>CSI-RS</w:t>
      </w:r>
      <w:r>
        <w:rPr>
          <w:rFonts w:hint="eastAsia" w:ascii="Times New Roman" w:hAnsi="宋体"/>
          <w:i/>
          <w:sz w:val="20"/>
          <w:szCs w:val="20"/>
        </w:rPr>
        <w:t xml:space="preserve"> periodicity</w:t>
      </w:r>
      <w:r>
        <w:rPr>
          <w:rFonts w:ascii="Times New Roman" w:hAnsi="宋体"/>
          <w:i/>
          <w:sz w:val="20"/>
          <w:szCs w:val="20"/>
        </w:rPr>
        <w:t xml:space="preserve"> associated with </w:t>
      </w:r>
      <w:r>
        <w:rPr>
          <w:rFonts w:hint="eastAsia" w:ascii="Times New Roman" w:hAnsi="宋体"/>
          <w:i/>
          <w:sz w:val="20"/>
          <w:szCs w:val="20"/>
        </w:rPr>
        <w:t>long-term CSI</w:t>
      </w:r>
      <w:r>
        <w:rPr>
          <w:rFonts w:ascii="Times New Roman" w:hAnsi="宋体"/>
          <w:i/>
          <w:sz w:val="20"/>
          <w:szCs w:val="20"/>
        </w:rPr>
        <w:t xml:space="preserve"> </w:t>
      </w:r>
      <w:r>
        <w:rPr>
          <w:rFonts w:hint="eastAsia" w:ascii="Times New Roman" w:hAnsi="宋体"/>
          <w:i/>
          <w:sz w:val="20"/>
          <w:szCs w:val="20"/>
        </w:rPr>
        <w:t>is</w:t>
      </w:r>
      <w:r>
        <w:rPr>
          <w:rFonts w:ascii="Times New Roman" w:hAnsi="宋体"/>
          <w:i/>
          <w:sz w:val="20"/>
          <w:szCs w:val="20"/>
        </w:rPr>
        <w:t xml:space="preserve"> </w:t>
      </w:r>
      <w:r>
        <w:rPr>
          <w:rFonts w:hint="eastAsia" w:ascii="Times New Roman" w:hAnsi="宋体"/>
          <w:i/>
          <w:sz w:val="20"/>
          <w:szCs w:val="20"/>
        </w:rPr>
        <w:t>an integer</w:t>
      </w:r>
      <w:r>
        <w:rPr>
          <w:rFonts w:ascii="Times New Roman" w:hAnsi="宋体"/>
          <w:i/>
          <w:sz w:val="20"/>
          <w:szCs w:val="20"/>
        </w:rPr>
        <w:t xml:space="preserve"> </w:t>
      </w:r>
      <w:r>
        <w:rPr>
          <w:rFonts w:hint="eastAsia" w:ascii="Times New Roman" w:hAnsi="宋体"/>
          <w:i/>
          <w:sz w:val="20"/>
          <w:szCs w:val="20"/>
        </w:rPr>
        <w:t>multiple</w:t>
      </w:r>
      <w:r>
        <w:rPr>
          <w:rFonts w:ascii="Times New Roman" w:hAnsi="宋体"/>
          <w:i/>
          <w:sz w:val="20"/>
          <w:szCs w:val="20"/>
        </w:rPr>
        <w:t xml:space="preserve"> of the CSI-RS</w:t>
      </w:r>
      <w:r>
        <w:rPr>
          <w:rFonts w:hint="eastAsia" w:ascii="Times New Roman" w:hAnsi="宋体"/>
          <w:i/>
          <w:sz w:val="20"/>
          <w:szCs w:val="20"/>
        </w:rPr>
        <w:t xml:space="preserve"> </w:t>
      </w:r>
      <w:r>
        <w:rPr>
          <w:rFonts w:ascii="Times New Roman" w:hAnsi="宋体"/>
          <w:i/>
          <w:sz w:val="20"/>
          <w:szCs w:val="20"/>
        </w:rPr>
        <w:t xml:space="preserve">periodicity associated with </w:t>
      </w:r>
      <w:r>
        <w:rPr>
          <w:rFonts w:hint="eastAsia" w:ascii="Times New Roman" w:hAnsi="宋体"/>
          <w:i/>
          <w:sz w:val="20"/>
          <w:szCs w:val="20"/>
        </w:rPr>
        <w:t>short-term CSI</w:t>
      </w:r>
      <w:r>
        <w:rPr>
          <w:rFonts w:ascii="Times New Roman" w:hAnsi="宋体"/>
          <w:i/>
          <w:sz w:val="20"/>
          <w:szCs w:val="20"/>
        </w:rPr>
        <w:t>.</w:t>
      </w:r>
    </w:p>
    <w:p>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hint="eastAsia" w:ascii="Times New Roman" w:hAnsi="宋体"/>
          <w:b/>
          <w:i/>
          <w:sz w:val="20"/>
          <w:szCs w:val="20"/>
        </w:rPr>
        <w:t>7</w:t>
      </w:r>
      <w:r>
        <w:rPr>
          <w:rFonts w:ascii="Times New Roman" w:hAnsi="宋体"/>
          <w:b/>
          <w:i/>
          <w:sz w:val="20"/>
          <w:szCs w:val="20"/>
        </w:rPr>
        <w:t xml:space="preserve">: </w:t>
      </w:r>
      <w:r>
        <w:rPr>
          <w:rFonts w:hint="eastAsia" w:ascii="Times New Roman" w:hAnsi="宋体"/>
          <w:bCs/>
          <w:i/>
          <w:sz w:val="20"/>
          <w:szCs w:val="20"/>
        </w:rPr>
        <w:t xml:space="preserve">For hybrid CSI in NR MIMO </w:t>
      </w:r>
    </w:p>
    <w:p>
      <w:pPr>
        <w:snapToGrid w:val="0"/>
        <w:spacing w:after="0" w:line="240" w:lineRule="auto"/>
        <w:jc w:val="both"/>
        <w:rPr>
          <w:rFonts w:ascii="Times New Roman" w:hAnsi="宋体"/>
          <w:bCs/>
          <w:i/>
          <w:sz w:val="20"/>
          <w:szCs w:val="20"/>
        </w:rPr>
      </w:pPr>
      <w:r>
        <w:rPr>
          <w:rFonts w:hint="eastAsia" w:ascii="Times New Roman" w:hAnsi="宋体"/>
          <w:bCs/>
          <w:i/>
          <w:sz w:val="20"/>
          <w:szCs w:val="20"/>
        </w:rPr>
        <w:t>-</w:t>
      </w:r>
      <w:r>
        <w:rPr>
          <w:rFonts w:hint="eastAsia" w:ascii="Times New Roman" w:hAnsi="宋体"/>
          <w:bCs/>
          <w:i/>
          <w:sz w:val="20"/>
          <w:szCs w:val="20"/>
        </w:rPr>
        <w:tab/>
      </w:r>
      <w:r>
        <w:rPr>
          <w:rFonts w:hint="eastAsia" w:ascii="Times New Roman" w:hAnsi="宋体"/>
          <w:bCs/>
          <w:i/>
          <w:sz w:val="20"/>
          <w:szCs w:val="20"/>
        </w:rPr>
        <w:t>Support joint CSI report configuration in one report setting</w:t>
      </w:r>
    </w:p>
    <w:p>
      <w:pPr>
        <w:snapToGrid w:val="0"/>
        <w:spacing w:line="240" w:lineRule="auto"/>
        <w:jc w:val="both"/>
        <w:rPr>
          <w:rFonts w:ascii="Times New Roman" w:hAnsi="宋体"/>
          <w:i/>
          <w:sz w:val="20"/>
          <w:szCs w:val="20"/>
        </w:rPr>
      </w:pPr>
      <w:r>
        <w:rPr>
          <w:rFonts w:hint="eastAsia" w:ascii="Times New Roman" w:hAnsi="宋体"/>
          <w:bCs/>
          <w:i/>
          <w:sz w:val="20"/>
          <w:szCs w:val="20"/>
        </w:rPr>
        <w:t>-</w:t>
      </w:r>
      <w:r>
        <w:rPr>
          <w:rFonts w:hint="eastAsia" w:ascii="Times New Roman" w:hAnsi="宋体"/>
          <w:bCs/>
          <w:i/>
          <w:sz w:val="20"/>
          <w:szCs w:val="20"/>
        </w:rPr>
        <w:tab/>
      </w:r>
      <w:r>
        <w:rPr>
          <w:rFonts w:hint="eastAsia" w:ascii="Times New Roman" w:hAnsi="宋体"/>
          <w:bCs/>
          <w:i/>
          <w:sz w:val="20"/>
          <w:szCs w:val="20"/>
        </w:rPr>
        <w:t>Support joint CSI-RS resource configuration in one resource setting</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UL beam management framework</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 xml:space="preserve">Similarly as DL CSI acquisition and beam management framework, multi-level resource configuration framework can be applied to UL for UL beam sweeping and refinement. </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w:t>
      </w:r>
      <w:r>
        <w:rPr>
          <w:rFonts w:hint="eastAsia" w:ascii="Times New Roman" w:hAnsi="Times New Roman"/>
          <w:bCs/>
          <w:sz w:val="20"/>
          <w:szCs w:val="20"/>
        </w:rPr>
        <w:tab/>
      </w:r>
      <w:r>
        <w:rPr>
          <w:rFonts w:hint="eastAsia" w:ascii="Times New Roman" w:hAnsi="Times New Roman"/>
          <w:bCs/>
          <w:sz w:val="20"/>
          <w:szCs w:val="20"/>
        </w:rPr>
        <w:t xml:space="preserve">In the first level, SRS resource setting is configured to UE with multiple SRS resources defined. For each SRS resource, same UL Tx beam is used, and number of repetitions is also configured to facilitate UL Rx beam sweeping.  </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w:t>
      </w:r>
      <w:r>
        <w:rPr>
          <w:rFonts w:hint="eastAsia" w:ascii="Times New Roman" w:hAnsi="Times New Roman"/>
          <w:bCs/>
          <w:sz w:val="20"/>
          <w:szCs w:val="20"/>
        </w:rPr>
        <w:tab/>
      </w:r>
      <w:r>
        <w:rPr>
          <w:rFonts w:hint="eastAsia" w:ascii="Times New Roman" w:hAnsi="Times New Roman"/>
          <w:bCs/>
          <w:sz w:val="20"/>
          <w:szCs w:val="20"/>
        </w:rPr>
        <w:t xml:space="preserve">Multiple SRS resource sets are configured in the SRS resource setting. As depicted in Fig. 7, each resource set contains SRS resource IDs which have beam correspondence/association with a measured CRI or SRI. Then the Tx spatial filtering of  the associated SRS resources in one resource set can be </w:t>
      </w:r>
      <w:r>
        <w:rPr>
          <w:rFonts w:ascii="Times New Roman" w:hAnsi="Times New Roman"/>
          <w:bCs/>
          <w:sz w:val="20"/>
          <w:szCs w:val="20"/>
        </w:rPr>
        <w:t>inferred from</w:t>
      </w:r>
      <w:r>
        <w:rPr>
          <w:rFonts w:hint="eastAsia" w:ascii="Times New Roman" w:hAnsi="Times New Roman"/>
          <w:bCs/>
          <w:sz w:val="20"/>
          <w:szCs w:val="20"/>
        </w:rPr>
        <w:t xml:space="preserve"> the Rx spatial filter of the measured CRI or the Tx spatial filter of the measured SRI. For example, in previous measurement, a UL beam SRI3 or DL beam CRI3 is identified as best beam. To refine beam SRI3, UE can sweep three Tx beams which are adjacent with the Tx beam related to SRI3 when the SRS resource set is associated with SRI3. UE also can sweep three Tx beams obtained by three best Rx beam related to CRI3 when the SRS resource set is associated with CRI3.  </w:t>
      </w:r>
    </w:p>
    <w:p>
      <w:pPr>
        <w:spacing w:before="120" w:after="0" w:line="240" w:lineRule="auto"/>
        <w:jc w:val="center"/>
      </w:pPr>
      <w:r>
        <w:object>
          <v:shape id="_x0000_i1029" o:spt="75" type="#_x0000_t75" style="height:77.55pt;width:299.1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9" r:id="rId12">
            <o:LockedField>false</o:LockedField>
          </o:OLEObject>
        </w:object>
      </w:r>
    </w:p>
    <w:p>
      <w:pPr>
        <w:spacing w:before="120" w:after="0" w:line="240" w:lineRule="auto"/>
        <w:jc w:val="center"/>
        <w:rPr>
          <w:rFonts w:ascii="Times New Roman" w:hAnsi="Times New Roman"/>
          <w:bCs/>
          <w:sz w:val="20"/>
          <w:szCs w:val="20"/>
        </w:rPr>
      </w:pPr>
      <w:r>
        <w:rPr>
          <w:rFonts w:hint="eastAsia" w:ascii="Times New Roman" w:hAnsi="Times New Roman"/>
          <w:bCs/>
          <w:sz w:val="20"/>
          <w:szCs w:val="20"/>
        </w:rPr>
        <w:t>Fig. 5 SRS resource set configuration</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 xml:space="preserve">Further, as UE has the best knowledge of how beam of a measured resource can be refined to multiple beams, a mechanism should be supported to allow UE request the number of SRS resources per resource set associated with a reference resource, such as SRI3/CRI3. UE can decide the number of SRS resources and number of resources sets based on the number of panels, the number of beams to be measured and so on. For example, the number of resource sets can be inferred from number of UE panels. </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For aperiodic SRS transmission, as multiple SRS resources are supported, in order to reduce DCI overhead, each triggering in DCI should correspond to one resource set. Then the resource set associated with one SRI or CRI is transmitted and measured to facilitate aperiodic UL beam refinement.</w:t>
      </w:r>
    </w:p>
    <w:p>
      <w:pPr>
        <w:adjustRightInd w:val="0"/>
        <w:snapToGrid w:val="0"/>
        <w:spacing w:before="120" w:after="0" w:line="240" w:lineRule="auto"/>
        <w:jc w:val="both"/>
        <w:rPr>
          <w:rFonts w:ascii="Times New Roman" w:hAnsi="Times New Roman"/>
          <w:bCs/>
          <w:sz w:val="20"/>
          <w:szCs w:val="20"/>
        </w:rPr>
      </w:pPr>
      <w:r>
        <w:rPr>
          <w:rFonts w:hint="eastAsia" w:ascii="Times New Roman" w:hAnsi="Times New Roman"/>
          <w:bCs/>
          <w:sz w:val="20"/>
          <w:szCs w:val="20"/>
        </w:rPr>
        <w:t>More details of how this SRS resource setting, resource set and resource framework facilitates high-efficiency UL beam management can be found in our companion contribution [7].</w:t>
      </w:r>
    </w:p>
    <w:p>
      <w:pPr>
        <w:snapToGrid w:val="0"/>
        <w:spacing w:before="120" w:after="0" w:line="240" w:lineRule="auto"/>
        <w:jc w:val="both"/>
        <w:rPr>
          <w:rFonts w:ascii="Times New Roman" w:hAnsi="Times New Roman"/>
          <w:bCs/>
          <w:i/>
          <w:iCs/>
          <w:sz w:val="20"/>
          <w:szCs w:val="20"/>
        </w:rPr>
      </w:pPr>
      <w:r>
        <w:rPr>
          <w:rFonts w:hint="eastAsia" w:ascii="Times New Roman" w:hAnsi="Times New Roman"/>
          <w:b/>
          <w:i/>
          <w:iCs/>
          <w:sz w:val="20"/>
          <w:szCs w:val="20"/>
        </w:rPr>
        <w:t xml:space="preserve">Proposal 8: </w:t>
      </w:r>
      <w:r>
        <w:rPr>
          <w:rFonts w:hint="eastAsia" w:ascii="Times New Roman" w:hAnsi="Times New Roman"/>
          <w:bCs/>
          <w:i/>
          <w:iCs/>
          <w:sz w:val="20"/>
          <w:szCs w:val="20"/>
        </w:rPr>
        <w:t>NR support configuration of SRS resource setting with multiple SRS resources configured.</w:t>
      </w:r>
    </w:p>
    <w:p>
      <w:pPr>
        <w:snapToGrid w:val="0"/>
        <w:spacing w:after="0" w:line="240" w:lineRule="auto"/>
        <w:jc w:val="both"/>
        <w:rPr>
          <w:rFonts w:ascii="Times New Roman" w:hAnsi="Times New Roman"/>
          <w:bCs/>
          <w:i/>
          <w:iCs/>
          <w:sz w:val="20"/>
          <w:szCs w:val="20"/>
        </w:rPr>
      </w:pPr>
      <w:r>
        <w:rPr>
          <w:rFonts w:hint="eastAsia" w:ascii="Times New Roman" w:hAnsi="Times New Roman"/>
          <w:bCs/>
          <w:i/>
          <w:iCs/>
          <w:sz w:val="20"/>
          <w:szCs w:val="20"/>
        </w:rPr>
        <w:t>-</w:t>
      </w:r>
      <w:r>
        <w:rPr>
          <w:rFonts w:hint="eastAsia" w:ascii="Times New Roman" w:hAnsi="Times New Roman"/>
          <w:bCs/>
          <w:i/>
          <w:iCs/>
          <w:sz w:val="20"/>
          <w:szCs w:val="20"/>
        </w:rPr>
        <w:tab/>
      </w:r>
      <w:r>
        <w:rPr>
          <w:rFonts w:hint="eastAsia" w:ascii="Times New Roman" w:hAnsi="Times New Roman"/>
          <w:bCs/>
          <w:i/>
          <w:iCs/>
          <w:sz w:val="20"/>
          <w:szCs w:val="20"/>
        </w:rPr>
        <w:t>Multiple SRS resource sets are configued in SRS resources setting. Each resource set contains SRS resource IDs having beam correspondence/association with one CRI or SRI.</w:t>
      </w:r>
    </w:p>
    <w:p>
      <w:pPr>
        <w:snapToGrid w:val="0"/>
        <w:spacing w:after="0" w:line="240" w:lineRule="auto"/>
        <w:ind w:firstLine="720"/>
        <w:jc w:val="both"/>
        <w:rPr>
          <w:rFonts w:ascii="Times New Roman" w:hAnsi="Times New Roman"/>
          <w:bCs/>
          <w:i/>
          <w:iCs/>
          <w:sz w:val="20"/>
          <w:szCs w:val="20"/>
        </w:rPr>
      </w:pPr>
      <w:r>
        <w:rPr>
          <w:rFonts w:hint="eastAsia" w:ascii="Times New Roman" w:hAnsi="Times New Roman"/>
          <w:bCs/>
          <w:i/>
          <w:iCs/>
          <w:sz w:val="20"/>
          <w:szCs w:val="20"/>
        </w:rPr>
        <w:t>-</w:t>
      </w:r>
      <w:r>
        <w:rPr>
          <w:rFonts w:hint="eastAsia" w:ascii="Times New Roman" w:hAnsi="Times New Roman"/>
          <w:bCs/>
          <w:i/>
          <w:iCs/>
          <w:sz w:val="20"/>
          <w:szCs w:val="20"/>
        </w:rPr>
        <w:tab/>
      </w:r>
      <w:r>
        <w:rPr>
          <w:rFonts w:hint="eastAsia" w:ascii="Times New Roman" w:hAnsi="Times New Roman"/>
          <w:bCs/>
          <w:i/>
          <w:iCs/>
          <w:sz w:val="20"/>
          <w:szCs w:val="20"/>
        </w:rPr>
        <w:t>support UE request for the number of SRS resources in one resource set.</w:t>
      </w:r>
    </w:p>
    <w:p>
      <w:pPr>
        <w:spacing w:before="120" w:after="0" w:line="240" w:lineRule="auto"/>
        <w:jc w:val="both"/>
        <w:rPr>
          <w:rFonts w:ascii="Times New Roman" w:hAnsi="Times New Roman"/>
          <w:bCs/>
          <w:i/>
          <w:iCs/>
          <w:sz w:val="20"/>
          <w:szCs w:val="20"/>
        </w:rPr>
      </w:pPr>
      <w:r>
        <w:rPr>
          <w:rFonts w:hint="eastAsia" w:ascii="Times New Roman" w:hAnsi="Times New Roman"/>
          <w:b/>
          <w:i/>
          <w:iCs/>
          <w:sz w:val="20"/>
          <w:szCs w:val="20"/>
        </w:rPr>
        <w:t>Proposal 9:</w:t>
      </w:r>
      <w:r>
        <w:rPr>
          <w:rFonts w:hint="eastAsia" w:ascii="Times New Roman" w:hAnsi="Times New Roman"/>
          <w:bCs/>
          <w:i/>
          <w:iCs/>
          <w:sz w:val="20"/>
          <w:szCs w:val="20"/>
        </w:rPr>
        <w:t xml:space="preserve"> For NR aperiodic SRS, each triggering signaling in DCI triggers transmission of one SRS resource set.</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Conclusions</w:t>
      </w:r>
    </w:p>
    <w:p>
      <w:pPr>
        <w:adjustRightInd w:val="0"/>
        <w:snapToGrid w:val="0"/>
        <w:spacing w:before="120" w:after="0" w:line="240" w:lineRule="auto"/>
        <w:jc w:val="both"/>
        <w:rPr>
          <w:rFonts w:ascii="Times New Roman" w:hAnsi="Times New Roman"/>
          <w:sz w:val="20"/>
          <w:szCs w:val="20"/>
        </w:rPr>
      </w:pPr>
      <w:r>
        <w:rPr>
          <w:rFonts w:hint="eastAsia" w:ascii="Times New Roman" w:hAnsi="Times New Roman"/>
          <w:sz w:val="20"/>
          <w:szCs w:val="20"/>
        </w:rPr>
        <w:t>In this contribution, we discuss the detailed design of flexible CSI acquisition and beam management framework. Based on the discussion, we have the following observation and proposals.</w:t>
      </w:r>
    </w:p>
    <w:p>
      <w:pPr>
        <w:adjustRightInd w:val="0"/>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hint="eastAsia" w:ascii="Times New Roman" w:hAnsi="宋体"/>
          <w:i/>
          <w:sz w:val="20"/>
          <w:szCs w:val="20"/>
        </w:rPr>
        <w:t>CSI-RS resources associated with long-term CSI and short-term CSI</w:t>
      </w:r>
      <w:r>
        <w:rPr>
          <w:rFonts w:ascii="Times New Roman" w:hAnsi="宋体"/>
          <w:i/>
          <w:sz w:val="20"/>
          <w:szCs w:val="20"/>
        </w:rPr>
        <w:t xml:space="preserve"> helps to achieve better gain for hybrid CSI.</w:t>
      </w:r>
    </w:p>
    <w:p>
      <w:pPr>
        <w:snapToGrid w:val="0"/>
        <w:spacing w:before="120" w:after="0" w:line="240" w:lineRule="auto"/>
        <w:jc w:val="both"/>
        <w:rPr>
          <w:rFonts w:ascii="Times New Roman" w:hAnsi="宋体"/>
          <w:i/>
          <w:sz w:val="20"/>
          <w:szCs w:val="20"/>
          <w:lang w:val="en-GB"/>
        </w:rPr>
      </w:pPr>
      <w:r>
        <w:rPr>
          <w:rFonts w:hint="eastAsia" w:ascii="Times New Roman" w:hAnsi="宋体"/>
          <w:b/>
          <w:i/>
          <w:sz w:val="20"/>
          <w:szCs w:val="20"/>
          <w:lang w:val="en-GB"/>
        </w:rPr>
        <w:t xml:space="preserve">Proposal </w:t>
      </w:r>
      <w:r>
        <w:rPr>
          <w:rFonts w:hint="eastAsia" w:ascii="Times New Roman" w:hAnsi="宋体"/>
          <w:b/>
          <w:i/>
          <w:sz w:val="20"/>
          <w:szCs w:val="20"/>
        </w:rPr>
        <w:t>1</w:t>
      </w:r>
      <w:r>
        <w:rPr>
          <w:rFonts w:ascii="Times New Roman" w:hAnsi="宋体"/>
          <w:b/>
          <w:i/>
          <w:sz w:val="20"/>
          <w:szCs w:val="20"/>
          <w:lang w:val="en-GB"/>
        </w:rPr>
        <w:t xml:space="preserve">: </w:t>
      </w:r>
      <w:r>
        <w:rPr>
          <w:rFonts w:hint="eastAsia" w:ascii="Times New Roman" w:hAnsi="宋体"/>
          <w:i/>
          <w:sz w:val="20"/>
          <w:szCs w:val="20"/>
          <w:lang w:val="en-GB"/>
        </w:rPr>
        <w:t xml:space="preserve">NR </w:t>
      </w:r>
      <w:r>
        <w:rPr>
          <w:rFonts w:hint="eastAsia" w:ascii="Times New Roman" w:hAnsi="宋体"/>
          <w:i/>
          <w:sz w:val="20"/>
          <w:szCs w:val="20"/>
        </w:rPr>
        <w:t>supports to</w:t>
      </w:r>
      <w:r>
        <w:rPr>
          <w:rFonts w:hint="eastAsia" w:ascii="Times New Roman" w:hAnsi="宋体"/>
          <w:i/>
          <w:sz w:val="20"/>
          <w:szCs w:val="20"/>
          <w:lang w:val="en-GB"/>
        </w:rPr>
        <w:t xml:space="preserve"> use </w:t>
      </w:r>
      <w:r>
        <w:rPr>
          <w:rFonts w:ascii="Times New Roman" w:hAnsi="宋体"/>
          <w:i/>
          <w:sz w:val="20"/>
          <w:szCs w:val="20"/>
          <w:lang w:val="en-GB"/>
        </w:rPr>
        <w:t>separate</w:t>
      </w:r>
      <w:r>
        <w:rPr>
          <w:rFonts w:hint="eastAsia" w:ascii="Times New Roman" w:hAnsi="宋体"/>
          <w:i/>
          <w:sz w:val="20"/>
          <w:szCs w:val="20"/>
          <w:lang w:val="en-GB"/>
        </w:rPr>
        <w:t xml:space="preserve"> set</w:t>
      </w:r>
      <w:r>
        <w:rPr>
          <w:rFonts w:hint="eastAsia" w:ascii="Times New Roman" w:hAnsi="宋体"/>
          <w:i/>
          <w:sz w:val="20"/>
          <w:szCs w:val="20"/>
        </w:rPr>
        <w:t>s</w:t>
      </w:r>
      <w:r>
        <w:rPr>
          <w:rFonts w:hint="eastAsia" w:ascii="Times New Roman" w:hAnsi="宋体"/>
          <w:i/>
          <w:sz w:val="20"/>
          <w:szCs w:val="20"/>
          <w:lang w:val="en-GB"/>
        </w:rPr>
        <w:t xml:space="preserve"> of bit maps to indicate PB and SB report </w:t>
      </w:r>
      <w:r>
        <w:rPr>
          <w:rFonts w:hint="eastAsia" w:ascii="Times New Roman" w:hAnsi="宋体"/>
          <w:i/>
          <w:sz w:val="20"/>
          <w:szCs w:val="20"/>
        </w:rPr>
        <w:t>configuration</w:t>
      </w:r>
      <w:r>
        <w:rPr>
          <w:rFonts w:hint="eastAsia" w:ascii="Times New Roman" w:hAnsi="宋体"/>
          <w:i/>
          <w:sz w:val="20"/>
          <w:szCs w:val="20"/>
          <w:lang w:val="en-GB"/>
        </w:rPr>
        <w:t>s of CSI parameters.</w:t>
      </w:r>
    </w:p>
    <w:p>
      <w:pPr>
        <w:snapToGrid w:val="0"/>
        <w:spacing w:before="120" w:after="0"/>
        <w:jc w:val="both"/>
        <w:rPr>
          <w:rFonts w:ascii="Times New Roman" w:hAnsi="Times New Roman"/>
          <w:i/>
          <w:sz w:val="20"/>
          <w:szCs w:val="20"/>
        </w:rPr>
      </w:pPr>
      <w:r>
        <w:rPr>
          <w:rFonts w:hint="eastAsia" w:ascii="Times New Roman" w:hAnsi="Times New Roman"/>
          <w:b/>
          <w:i/>
          <w:sz w:val="20"/>
          <w:szCs w:val="20"/>
        </w:rPr>
        <w:t>Proposal 2:</w:t>
      </w:r>
      <w:r>
        <w:rPr>
          <w:rFonts w:hint="eastAsia" w:ascii="Times New Roman" w:hAnsi="Times New Roman"/>
          <w:i/>
          <w:sz w:val="20"/>
          <w:szCs w:val="20"/>
        </w:rPr>
        <w:t xml:space="preserve"> NR supports configur</w:t>
      </w:r>
      <w:r>
        <w:rPr>
          <w:rFonts w:ascii="Times New Roman" w:hAnsi="Times New Roman"/>
          <w:i/>
          <w:sz w:val="20"/>
          <w:szCs w:val="20"/>
        </w:rPr>
        <w:t>ation of</w:t>
      </w:r>
      <w:r>
        <w:rPr>
          <w:rFonts w:hint="eastAsia" w:ascii="Times New Roman" w:hAnsi="Times New Roman"/>
          <w:i/>
          <w:sz w:val="20"/>
          <w:szCs w:val="20"/>
        </w:rPr>
        <w:t xml:space="preserve"> CSI report resource pooling in report settings.</w:t>
      </w:r>
    </w:p>
    <w:p>
      <w:pPr>
        <w:snapToGrid w:val="0"/>
        <w:jc w:val="both"/>
        <w:rPr>
          <w:rFonts w:ascii="Times New Roman" w:hAnsi="Times New Roman"/>
          <w:i/>
          <w:sz w:val="20"/>
          <w:szCs w:val="20"/>
        </w:rPr>
      </w:pPr>
      <w:r>
        <w:rPr>
          <w:rFonts w:hint="eastAsia" w:ascii="Times New Roman" w:hAnsi="Times New Roman"/>
          <w:i/>
          <w:sz w:val="20"/>
          <w:szCs w:val="20"/>
        </w:rPr>
        <w:t>-</w:t>
      </w:r>
      <w:r>
        <w:rPr>
          <w:rFonts w:hint="eastAsia" w:ascii="Times New Roman" w:hAnsi="Times New Roman"/>
          <w:i/>
          <w:sz w:val="20"/>
          <w:szCs w:val="20"/>
        </w:rPr>
        <w:tab/>
      </w:r>
      <w:r>
        <w:rPr>
          <w:rFonts w:hint="eastAsia" w:ascii="Times New Roman" w:hAnsi="Times New Roman"/>
          <w:i/>
          <w:sz w:val="20"/>
          <w:szCs w:val="20"/>
        </w:rPr>
        <w:t>CSI report resource selection based on CSI report resource pooling is indicated to UE via L1 or L2 signaling.</w:t>
      </w:r>
    </w:p>
    <w:p>
      <w:pPr>
        <w:spacing w:before="120"/>
        <w:jc w:val="both"/>
        <w:rPr>
          <w:rFonts w:ascii="Times New Roman" w:hAnsi="宋体"/>
          <w:i/>
          <w:sz w:val="20"/>
          <w:szCs w:val="20"/>
        </w:rPr>
      </w:pPr>
      <w:r>
        <w:rPr>
          <w:rFonts w:hint="eastAsia" w:ascii="Times New Roman" w:hAnsi="宋体"/>
          <w:b/>
          <w:i/>
          <w:sz w:val="20"/>
          <w:szCs w:val="20"/>
        </w:rPr>
        <w:t>Proposal 3:</w:t>
      </w:r>
      <w:r>
        <w:rPr>
          <w:rFonts w:hint="eastAsia" w:ascii="Times New Roman" w:hAnsi="宋体"/>
          <w:i/>
          <w:sz w:val="20"/>
          <w:szCs w:val="20"/>
        </w:rPr>
        <w:t xml:space="preserve"> Dynamic CSR indication</w:t>
      </w:r>
      <w:r>
        <w:rPr>
          <w:rFonts w:ascii="Times New Roman" w:hAnsi="宋体"/>
          <w:i/>
          <w:sz w:val="20"/>
          <w:szCs w:val="20"/>
        </w:rPr>
        <w:t xml:space="preserve"> </w:t>
      </w:r>
      <w:r>
        <w:rPr>
          <w:rFonts w:hint="eastAsia" w:ascii="Times New Roman" w:hAnsi="宋体"/>
          <w:i/>
          <w:sz w:val="20"/>
          <w:szCs w:val="20"/>
        </w:rPr>
        <w:t>based CSI feedback is supported for NR CSI measurement and report.</w:t>
      </w:r>
    </w:p>
    <w:p>
      <w:pPr>
        <w:snapToGrid w:val="0"/>
        <w:spacing w:before="120" w:line="240" w:lineRule="auto"/>
        <w:jc w:val="both"/>
        <w:rPr>
          <w:rFonts w:ascii="Times New Roman" w:hAnsi="宋体"/>
          <w:i/>
          <w:sz w:val="20"/>
          <w:szCs w:val="20"/>
        </w:rPr>
      </w:pPr>
      <w:r>
        <w:rPr>
          <w:rFonts w:hint="eastAsia" w:ascii="Times New Roman" w:hAnsi="宋体"/>
          <w:b/>
          <w:i/>
          <w:sz w:val="20"/>
          <w:szCs w:val="20"/>
        </w:rPr>
        <w:t xml:space="preserve">Proposal 4: </w:t>
      </w:r>
      <w:r>
        <w:rPr>
          <w:rFonts w:hint="eastAsia" w:ascii="Times New Roman" w:hAnsi="宋体"/>
          <w:i/>
          <w:sz w:val="20"/>
          <w:szCs w:val="20"/>
        </w:rPr>
        <w:t>NR supports configuring multiple subframe sets and subframe-set-specific CSI-RS resource settings.</w:t>
      </w:r>
    </w:p>
    <w:p>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hint="eastAsia" w:ascii="Times New Roman" w:hAnsi="Times New Roman"/>
          <w:b/>
          <w:i/>
          <w:sz w:val="20"/>
          <w:szCs w:val="20"/>
        </w:rPr>
        <w:t xml:space="preserve"> 5</w:t>
      </w:r>
      <w:r>
        <w:rPr>
          <w:rFonts w:ascii="Times New Roman" w:hAnsi="Times New Roman"/>
          <w:b/>
          <w:i/>
          <w:sz w:val="20"/>
          <w:szCs w:val="20"/>
        </w:rPr>
        <w:t>:</w:t>
      </w:r>
      <w:r>
        <w:rPr>
          <w:rFonts w:ascii="Times New Roman" w:hAnsi="Times New Roman"/>
          <w:i/>
          <w:sz w:val="20"/>
          <w:szCs w:val="20"/>
        </w:rPr>
        <w:t xml:space="preserve"> In NR</w:t>
      </w:r>
      <w:r>
        <w:rPr>
          <w:rFonts w:hint="eastAsia" w:ascii="Times New Roman" w:hAnsi="Times New Roman"/>
          <w:i/>
          <w:sz w:val="20"/>
          <w:szCs w:val="20"/>
        </w:rPr>
        <w:t xml:space="preserve"> CSI report timing</w:t>
      </w:r>
      <w:r>
        <w:rPr>
          <w:rFonts w:ascii="Times New Roman" w:hAnsi="Times New Roman"/>
          <w:i/>
          <w:sz w:val="20"/>
          <w:szCs w:val="20"/>
        </w:rPr>
        <w:t>,</w:t>
      </w:r>
      <w:r>
        <w:rPr>
          <w:rFonts w:hint="eastAsia" w:ascii="Times New Roman" w:hAnsi="Times New Roman"/>
          <w:i/>
          <w:sz w:val="20"/>
          <w:szCs w:val="20"/>
        </w:rPr>
        <w:t xml:space="preserve"> complementary to Y,</w:t>
      </w:r>
      <w:r>
        <w:rPr>
          <w:rFonts w:ascii="Times New Roman" w:hAnsi="Times New Roman"/>
          <w:i/>
          <w:sz w:val="20"/>
          <w:szCs w:val="20"/>
        </w:rPr>
        <w:t xml:space="preserve"> CSI relaxation mechanism </w:t>
      </w:r>
      <w:r>
        <w:rPr>
          <w:rFonts w:hint="eastAsia" w:ascii="Times New Roman" w:hAnsi="Times New Roman"/>
          <w:i/>
          <w:sz w:val="20"/>
          <w:szCs w:val="20"/>
        </w:rPr>
        <w:t>is</w:t>
      </w:r>
      <w:r>
        <w:rPr>
          <w:rFonts w:ascii="Times New Roman" w:hAnsi="Times New Roman"/>
          <w:i/>
          <w:sz w:val="20"/>
          <w:szCs w:val="20"/>
        </w:rPr>
        <w:t xml:space="preserve"> s</w:t>
      </w:r>
      <w:r>
        <w:rPr>
          <w:rFonts w:hint="eastAsia" w:ascii="Times New Roman" w:hAnsi="Times New Roman"/>
          <w:i/>
          <w:sz w:val="20"/>
          <w:szCs w:val="20"/>
        </w:rPr>
        <w:t>upported</w:t>
      </w:r>
      <w:r>
        <w:rPr>
          <w:rFonts w:ascii="Times New Roman" w:hAnsi="Times New Roman"/>
          <w:i/>
          <w:sz w:val="20"/>
          <w:szCs w:val="20"/>
        </w:rPr>
        <w:t xml:space="preserve"> considering the number of simultaneous CSI calculations for UE</w:t>
      </w:r>
      <w:r>
        <w:rPr>
          <w:rFonts w:hint="eastAsia" w:ascii="Times New Roman" w:hAnsi="Times New Roman"/>
          <w:i/>
          <w:sz w:val="20"/>
          <w:szCs w:val="20"/>
        </w:rPr>
        <w:t xml:space="preserve"> with aperiodic CSI report</w:t>
      </w:r>
      <w:r>
        <w:rPr>
          <w:rFonts w:ascii="Times New Roman" w:hAnsi="Times New Roman"/>
          <w:i/>
          <w:sz w:val="20"/>
          <w:szCs w:val="20"/>
        </w:rPr>
        <w:t>.</w:t>
      </w:r>
    </w:p>
    <w:p>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hint="eastAsia" w:ascii="Times New Roman" w:hAnsi="宋体"/>
          <w:b/>
          <w:i/>
          <w:sz w:val="20"/>
          <w:szCs w:val="20"/>
        </w:rPr>
        <w:t>6</w:t>
      </w:r>
      <w:r>
        <w:rPr>
          <w:rFonts w:ascii="Times New Roman" w:hAnsi="宋体"/>
          <w:b/>
          <w:i/>
          <w:sz w:val="20"/>
          <w:szCs w:val="20"/>
        </w:rPr>
        <w:t>:</w:t>
      </w:r>
      <w:r>
        <w:rPr>
          <w:rFonts w:ascii="Times New Roman" w:hAnsi="宋体"/>
          <w:i/>
          <w:sz w:val="20"/>
          <w:szCs w:val="20"/>
        </w:rPr>
        <w:t xml:space="preserve"> </w:t>
      </w:r>
      <w:r>
        <w:rPr>
          <w:rFonts w:hint="eastAsia" w:ascii="Times New Roman" w:hAnsi="宋体"/>
          <w:i/>
          <w:sz w:val="20"/>
          <w:szCs w:val="20"/>
        </w:rPr>
        <w:t>For</w:t>
      </w:r>
      <w:r>
        <w:rPr>
          <w:rFonts w:ascii="Times New Roman" w:hAnsi="宋体"/>
          <w:i/>
          <w:sz w:val="20"/>
          <w:szCs w:val="20"/>
        </w:rPr>
        <w:t xml:space="preserve"> hybrid CSI in NR MIMO, </w:t>
      </w:r>
      <w:r>
        <w:rPr>
          <w:rFonts w:hint="eastAsia" w:ascii="Times New Roman" w:hAnsi="宋体"/>
          <w:i/>
          <w:sz w:val="20"/>
          <w:szCs w:val="20"/>
        </w:rPr>
        <w:t xml:space="preserve">the </w:t>
      </w:r>
      <w:r>
        <w:rPr>
          <w:rFonts w:ascii="Times New Roman" w:hAnsi="宋体"/>
          <w:i/>
          <w:sz w:val="20"/>
          <w:szCs w:val="20"/>
        </w:rPr>
        <w:t>CSI-RS</w:t>
      </w:r>
      <w:r>
        <w:rPr>
          <w:rFonts w:hint="eastAsia" w:ascii="Times New Roman" w:hAnsi="宋体"/>
          <w:i/>
          <w:sz w:val="20"/>
          <w:szCs w:val="20"/>
        </w:rPr>
        <w:t xml:space="preserve"> periodicity</w:t>
      </w:r>
      <w:r>
        <w:rPr>
          <w:rFonts w:ascii="Times New Roman" w:hAnsi="宋体"/>
          <w:i/>
          <w:sz w:val="20"/>
          <w:szCs w:val="20"/>
        </w:rPr>
        <w:t xml:space="preserve"> associated with </w:t>
      </w:r>
      <w:r>
        <w:rPr>
          <w:rFonts w:hint="eastAsia" w:ascii="Times New Roman" w:hAnsi="宋体"/>
          <w:i/>
          <w:sz w:val="20"/>
          <w:szCs w:val="20"/>
        </w:rPr>
        <w:t>long-term CSI</w:t>
      </w:r>
      <w:r>
        <w:rPr>
          <w:rFonts w:ascii="Times New Roman" w:hAnsi="宋体"/>
          <w:i/>
          <w:sz w:val="20"/>
          <w:szCs w:val="20"/>
        </w:rPr>
        <w:t xml:space="preserve"> </w:t>
      </w:r>
      <w:r>
        <w:rPr>
          <w:rFonts w:hint="eastAsia" w:ascii="Times New Roman" w:hAnsi="宋体"/>
          <w:i/>
          <w:sz w:val="20"/>
          <w:szCs w:val="20"/>
        </w:rPr>
        <w:t>is</w:t>
      </w:r>
      <w:r>
        <w:rPr>
          <w:rFonts w:ascii="Times New Roman" w:hAnsi="宋体"/>
          <w:i/>
          <w:sz w:val="20"/>
          <w:szCs w:val="20"/>
        </w:rPr>
        <w:t xml:space="preserve"> </w:t>
      </w:r>
      <w:r>
        <w:rPr>
          <w:rFonts w:hint="eastAsia" w:ascii="Times New Roman" w:hAnsi="宋体"/>
          <w:i/>
          <w:sz w:val="20"/>
          <w:szCs w:val="20"/>
        </w:rPr>
        <w:t>an integer</w:t>
      </w:r>
      <w:r>
        <w:rPr>
          <w:rFonts w:ascii="Times New Roman" w:hAnsi="宋体"/>
          <w:i/>
          <w:sz w:val="20"/>
          <w:szCs w:val="20"/>
        </w:rPr>
        <w:t xml:space="preserve"> </w:t>
      </w:r>
      <w:r>
        <w:rPr>
          <w:rFonts w:hint="eastAsia" w:ascii="Times New Roman" w:hAnsi="宋体"/>
          <w:i/>
          <w:sz w:val="20"/>
          <w:szCs w:val="20"/>
        </w:rPr>
        <w:t>multiple</w:t>
      </w:r>
      <w:r>
        <w:rPr>
          <w:rFonts w:ascii="Times New Roman" w:hAnsi="宋体"/>
          <w:i/>
          <w:sz w:val="20"/>
          <w:szCs w:val="20"/>
        </w:rPr>
        <w:t xml:space="preserve"> of the CSI-RS</w:t>
      </w:r>
      <w:r>
        <w:rPr>
          <w:rFonts w:hint="eastAsia" w:ascii="Times New Roman" w:hAnsi="宋体"/>
          <w:i/>
          <w:sz w:val="20"/>
          <w:szCs w:val="20"/>
        </w:rPr>
        <w:t xml:space="preserve"> </w:t>
      </w:r>
      <w:r>
        <w:rPr>
          <w:rFonts w:ascii="Times New Roman" w:hAnsi="宋体"/>
          <w:i/>
          <w:sz w:val="20"/>
          <w:szCs w:val="20"/>
        </w:rPr>
        <w:t xml:space="preserve">periodicity associated with </w:t>
      </w:r>
      <w:r>
        <w:rPr>
          <w:rFonts w:hint="eastAsia" w:ascii="Times New Roman" w:hAnsi="宋体"/>
          <w:i/>
          <w:sz w:val="20"/>
          <w:szCs w:val="20"/>
        </w:rPr>
        <w:t>short-term CSI</w:t>
      </w:r>
      <w:r>
        <w:rPr>
          <w:rFonts w:ascii="Times New Roman" w:hAnsi="宋体"/>
          <w:i/>
          <w:sz w:val="20"/>
          <w:szCs w:val="20"/>
        </w:rPr>
        <w:t>.</w:t>
      </w:r>
    </w:p>
    <w:p>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hint="eastAsia" w:ascii="Times New Roman" w:hAnsi="宋体"/>
          <w:b/>
          <w:i/>
          <w:sz w:val="20"/>
          <w:szCs w:val="20"/>
        </w:rPr>
        <w:t>7</w:t>
      </w:r>
      <w:r>
        <w:rPr>
          <w:rFonts w:ascii="Times New Roman" w:hAnsi="宋体"/>
          <w:b/>
          <w:i/>
          <w:sz w:val="20"/>
          <w:szCs w:val="20"/>
        </w:rPr>
        <w:t xml:space="preserve">: </w:t>
      </w:r>
      <w:r>
        <w:rPr>
          <w:rFonts w:hint="eastAsia" w:ascii="Times New Roman" w:hAnsi="宋体"/>
          <w:bCs/>
          <w:i/>
          <w:sz w:val="20"/>
          <w:szCs w:val="20"/>
        </w:rPr>
        <w:t xml:space="preserve">For hybrid CSI in NR MIMO </w:t>
      </w:r>
    </w:p>
    <w:p>
      <w:pPr>
        <w:snapToGrid w:val="0"/>
        <w:spacing w:after="0" w:line="240" w:lineRule="auto"/>
        <w:jc w:val="both"/>
        <w:rPr>
          <w:rFonts w:ascii="Times New Roman" w:hAnsi="宋体"/>
          <w:bCs/>
          <w:i/>
          <w:sz w:val="20"/>
          <w:szCs w:val="20"/>
        </w:rPr>
      </w:pPr>
      <w:r>
        <w:rPr>
          <w:rFonts w:hint="eastAsia" w:ascii="Times New Roman" w:hAnsi="宋体"/>
          <w:bCs/>
          <w:i/>
          <w:sz w:val="20"/>
          <w:szCs w:val="20"/>
        </w:rPr>
        <w:t>-</w:t>
      </w:r>
      <w:r>
        <w:rPr>
          <w:rFonts w:hint="eastAsia" w:ascii="Times New Roman" w:hAnsi="宋体"/>
          <w:bCs/>
          <w:i/>
          <w:sz w:val="20"/>
          <w:szCs w:val="20"/>
        </w:rPr>
        <w:tab/>
      </w:r>
      <w:r>
        <w:rPr>
          <w:rFonts w:hint="eastAsia" w:ascii="Times New Roman" w:hAnsi="宋体"/>
          <w:bCs/>
          <w:i/>
          <w:sz w:val="20"/>
          <w:szCs w:val="20"/>
        </w:rPr>
        <w:t>Support joint CSI report configuration in one report setting</w:t>
      </w:r>
    </w:p>
    <w:p>
      <w:pPr>
        <w:snapToGrid w:val="0"/>
        <w:spacing w:line="240" w:lineRule="auto"/>
        <w:jc w:val="both"/>
        <w:rPr>
          <w:rFonts w:ascii="Times New Roman" w:hAnsi="宋体"/>
          <w:bCs/>
          <w:i/>
          <w:sz w:val="20"/>
          <w:szCs w:val="20"/>
        </w:rPr>
      </w:pPr>
      <w:r>
        <w:rPr>
          <w:rFonts w:hint="eastAsia" w:ascii="Times New Roman" w:hAnsi="宋体"/>
          <w:bCs/>
          <w:i/>
          <w:sz w:val="20"/>
          <w:szCs w:val="20"/>
        </w:rPr>
        <w:t>-</w:t>
      </w:r>
      <w:r>
        <w:rPr>
          <w:rFonts w:hint="eastAsia" w:ascii="Times New Roman" w:hAnsi="宋体"/>
          <w:bCs/>
          <w:i/>
          <w:sz w:val="20"/>
          <w:szCs w:val="20"/>
        </w:rPr>
        <w:tab/>
      </w:r>
      <w:r>
        <w:rPr>
          <w:rFonts w:hint="eastAsia" w:ascii="Times New Roman" w:hAnsi="宋体"/>
          <w:bCs/>
          <w:i/>
          <w:sz w:val="20"/>
          <w:szCs w:val="20"/>
        </w:rPr>
        <w:t>Support joint CSI-RS resource configuration in one resource setting</w:t>
      </w:r>
    </w:p>
    <w:p>
      <w:pPr>
        <w:snapToGrid w:val="0"/>
        <w:spacing w:before="120" w:after="0" w:line="240" w:lineRule="auto"/>
        <w:jc w:val="both"/>
        <w:rPr>
          <w:rFonts w:ascii="Times New Roman" w:hAnsi="Times New Roman"/>
          <w:bCs/>
          <w:i/>
          <w:iCs/>
          <w:sz w:val="20"/>
          <w:szCs w:val="20"/>
        </w:rPr>
      </w:pPr>
      <w:r>
        <w:rPr>
          <w:rFonts w:hint="eastAsia" w:ascii="Times New Roman" w:hAnsi="Times New Roman"/>
          <w:b/>
          <w:i/>
          <w:iCs/>
          <w:sz w:val="20"/>
          <w:szCs w:val="20"/>
        </w:rPr>
        <w:t xml:space="preserve">Proposal 8: </w:t>
      </w:r>
      <w:r>
        <w:rPr>
          <w:rFonts w:hint="eastAsia" w:ascii="Times New Roman" w:hAnsi="Times New Roman"/>
          <w:bCs/>
          <w:i/>
          <w:iCs/>
          <w:sz w:val="20"/>
          <w:szCs w:val="20"/>
        </w:rPr>
        <w:t>NR support configuration of SRS resource setting with multiple SRS resources configured.</w:t>
      </w:r>
    </w:p>
    <w:p>
      <w:pPr>
        <w:snapToGrid w:val="0"/>
        <w:spacing w:after="0" w:line="240" w:lineRule="auto"/>
        <w:jc w:val="both"/>
        <w:rPr>
          <w:rFonts w:ascii="Times New Roman" w:hAnsi="Times New Roman"/>
          <w:bCs/>
          <w:i/>
          <w:iCs/>
          <w:sz w:val="20"/>
          <w:szCs w:val="20"/>
        </w:rPr>
      </w:pPr>
      <w:r>
        <w:rPr>
          <w:rFonts w:hint="eastAsia" w:ascii="Times New Roman" w:hAnsi="Times New Roman"/>
          <w:bCs/>
          <w:i/>
          <w:iCs/>
          <w:sz w:val="20"/>
          <w:szCs w:val="20"/>
        </w:rPr>
        <w:t>-</w:t>
      </w:r>
      <w:r>
        <w:rPr>
          <w:rFonts w:hint="eastAsia" w:ascii="Times New Roman" w:hAnsi="Times New Roman"/>
          <w:bCs/>
          <w:i/>
          <w:iCs/>
          <w:sz w:val="20"/>
          <w:szCs w:val="20"/>
        </w:rPr>
        <w:tab/>
      </w:r>
      <w:r>
        <w:rPr>
          <w:rFonts w:hint="eastAsia" w:ascii="Times New Roman" w:hAnsi="Times New Roman"/>
          <w:bCs/>
          <w:i/>
          <w:iCs/>
          <w:sz w:val="20"/>
          <w:szCs w:val="20"/>
        </w:rPr>
        <w:t>Multiple SRS resource sets are configued in SRS resources setting. Each resource set contains SRS resource IDs having beam correspondence/association with one CRI or SRI.</w:t>
      </w:r>
    </w:p>
    <w:p>
      <w:pPr>
        <w:snapToGrid w:val="0"/>
        <w:spacing w:after="0" w:line="240" w:lineRule="auto"/>
        <w:ind w:firstLine="720"/>
        <w:jc w:val="both"/>
        <w:rPr>
          <w:rFonts w:ascii="Times New Roman" w:hAnsi="Times New Roman"/>
          <w:bCs/>
          <w:i/>
          <w:iCs/>
          <w:sz w:val="20"/>
          <w:szCs w:val="20"/>
        </w:rPr>
      </w:pPr>
      <w:r>
        <w:rPr>
          <w:rFonts w:hint="eastAsia" w:ascii="Times New Roman" w:hAnsi="Times New Roman"/>
          <w:bCs/>
          <w:i/>
          <w:iCs/>
          <w:sz w:val="20"/>
          <w:szCs w:val="20"/>
        </w:rPr>
        <w:t>-</w:t>
      </w:r>
      <w:r>
        <w:rPr>
          <w:rFonts w:hint="eastAsia" w:ascii="Times New Roman" w:hAnsi="Times New Roman"/>
          <w:bCs/>
          <w:i/>
          <w:iCs/>
          <w:sz w:val="20"/>
          <w:szCs w:val="20"/>
        </w:rPr>
        <w:tab/>
      </w:r>
      <w:r>
        <w:rPr>
          <w:rFonts w:hint="eastAsia" w:ascii="Times New Roman" w:hAnsi="Times New Roman"/>
          <w:bCs/>
          <w:i/>
          <w:iCs/>
          <w:sz w:val="20"/>
          <w:szCs w:val="20"/>
        </w:rPr>
        <w:t>support UE request for the number of SRS resources in one resource set.</w:t>
      </w:r>
    </w:p>
    <w:p>
      <w:pPr>
        <w:spacing w:before="120" w:after="0" w:line="240" w:lineRule="auto"/>
        <w:jc w:val="both"/>
        <w:rPr>
          <w:rFonts w:ascii="Times New Roman" w:hAnsi="宋体"/>
          <w:bCs/>
          <w:i/>
          <w:sz w:val="20"/>
          <w:szCs w:val="20"/>
        </w:rPr>
      </w:pPr>
      <w:r>
        <w:rPr>
          <w:rFonts w:hint="eastAsia" w:ascii="Times New Roman" w:hAnsi="Times New Roman"/>
          <w:b/>
          <w:i/>
          <w:iCs/>
          <w:sz w:val="20"/>
          <w:szCs w:val="20"/>
        </w:rPr>
        <w:t>Proposal 9:</w:t>
      </w:r>
      <w:r>
        <w:rPr>
          <w:rFonts w:hint="eastAsia" w:ascii="Times New Roman" w:hAnsi="Times New Roman"/>
          <w:bCs/>
          <w:i/>
          <w:iCs/>
          <w:sz w:val="20"/>
          <w:szCs w:val="20"/>
        </w:rPr>
        <w:t xml:space="preserve"> For NR aperiodic SRS, each triggering signaling in DCI triggers transmission of one SRS resource set.</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Reference</w:t>
      </w:r>
      <w:r>
        <w:rPr>
          <w:rFonts w:ascii="Times New Roman" w:hAnsi="Times New Roman"/>
          <w:b/>
          <w:sz w:val="24"/>
          <w:szCs w:val="24"/>
        </w:rPr>
        <w:t>s</w:t>
      </w:r>
      <w:r>
        <w:rPr>
          <w:rFonts w:hint="eastAsia" w:ascii="Times New Roman" w:hAnsi="Times New Roman"/>
          <w:b/>
          <w:sz w:val="24"/>
          <w:szCs w:val="24"/>
        </w:rPr>
        <w:t xml:space="preserve"> </w:t>
      </w:r>
    </w:p>
    <w:p>
      <w:pPr>
        <w:pStyle w:val="36"/>
        <w:adjustRightInd w:val="0"/>
        <w:snapToGrid w:val="0"/>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 xml:space="preserve"> Chairman</w:t>
      </w:r>
      <w:r>
        <w:rPr>
          <w:rFonts w:ascii="Times New Roman" w:hAnsi="Times New Roman"/>
          <w:sz w:val="20"/>
          <w:szCs w:val="20"/>
        </w:rPr>
        <w:t>’</w:t>
      </w:r>
      <w:r>
        <w:rPr>
          <w:rFonts w:hint="eastAsia" w:ascii="Times New Roman" w:hAnsi="Times New Roman"/>
          <w:sz w:val="20"/>
          <w:szCs w:val="20"/>
        </w:rPr>
        <w:t>s notes, 3GPP RAN1 NR Ad Hoc Meeting</w:t>
      </w:r>
    </w:p>
    <w:p>
      <w:pPr>
        <w:pStyle w:val="36"/>
        <w:adjustRightInd w:val="0"/>
        <w:snapToGrid w:val="0"/>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2</w:t>
      </w:r>
      <w:r>
        <w:rPr>
          <w:rFonts w:ascii="Times New Roman" w:hAnsi="Times New Roman"/>
          <w:sz w:val="20"/>
          <w:szCs w:val="20"/>
        </w:rPr>
        <w:t>]</w:t>
      </w:r>
      <w:r>
        <w:rPr>
          <w:rFonts w:hint="eastAsia" w:ascii="Times New Roman" w:hAnsi="Times New Roman"/>
          <w:sz w:val="20"/>
          <w:szCs w:val="20"/>
        </w:rPr>
        <w:t xml:space="preserve"> Chairman</w:t>
      </w:r>
      <w:r>
        <w:rPr>
          <w:rFonts w:ascii="Times New Roman" w:hAnsi="Times New Roman"/>
          <w:sz w:val="20"/>
          <w:szCs w:val="20"/>
        </w:rPr>
        <w:t>’</w:t>
      </w:r>
      <w:r>
        <w:rPr>
          <w:rFonts w:hint="eastAsia" w:ascii="Times New Roman" w:hAnsi="Times New Roman"/>
          <w:sz w:val="20"/>
          <w:szCs w:val="20"/>
        </w:rPr>
        <w:t>s notes, 3GPP RAN1 #88</w:t>
      </w:r>
    </w:p>
    <w:p>
      <w:pPr>
        <w:pStyle w:val="36"/>
        <w:adjustRightInd w:val="0"/>
        <w:snapToGrid w:val="0"/>
        <w:rPr>
          <w:rFonts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3</w:t>
      </w:r>
      <w:r>
        <w:rPr>
          <w:rFonts w:ascii="Times New Roman" w:hAnsi="Times New Roman"/>
          <w:sz w:val="20"/>
          <w:szCs w:val="20"/>
        </w:rPr>
        <w:t xml:space="preserve">] </w:t>
      </w:r>
      <w:r>
        <w:rPr>
          <w:rFonts w:hint="eastAsia" w:ascii="Times New Roman" w:hAnsi="Times New Roman"/>
          <w:sz w:val="20"/>
          <w:szCs w:val="20"/>
        </w:rPr>
        <w:t xml:space="preserve">R1-1700147, </w:t>
      </w:r>
      <w:r>
        <w:rPr>
          <w:rFonts w:ascii="Times New Roman" w:hAnsi="Times New Roman"/>
          <w:sz w:val="20"/>
          <w:szCs w:val="20"/>
        </w:rPr>
        <w:t>Beam selection and CSI acquisition</w:t>
      </w:r>
      <w:r>
        <w:rPr>
          <w:rFonts w:hint="eastAsia" w:ascii="Times New Roman" w:hAnsi="Times New Roman"/>
          <w:sz w:val="20"/>
          <w:szCs w:val="20"/>
        </w:rPr>
        <w:t>, ZTE, ZTE Microelectronics</w:t>
      </w:r>
    </w:p>
    <w:p>
      <w:pPr>
        <w:pStyle w:val="36"/>
        <w:adjustRightInd w:val="0"/>
        <w:snapToGrid w:val="0"/>
        <w:rPr>
          <w:rFonts w:ascii="Times New Roman" w:hAnsi="Times New Roman"/>
          <w:sz w:val="20"/>
          <w:szCs w:val="20"/>
        </w:rPr>
      </w:pPr>
      <w:r>
        <w:rPr>
          <w:rFonts w:hint="eastAsia" w:ascii="Times New Roman" w:hAnsi="Times New Roman"/>
          <w:bCs/>
          <w:sz w:val="20"/>
          <w:szCs w:val="20"/>
        </w:rPr>
        <w:t xml:space="preserve">[4] </w:t>
      </w:r>
      <w:r>
        <w:rPr>
          <w:rFonts w:ascii="Times New Roman" w:hAnsi="Times New Roman"/>
          <w:bCs/>
          <w:sz w:val="20"/>
          <w:szCs w:val="20"/>
        </w:rPr>
        <w:t>R1-17</w:t>
      </w:r>
      <w:r>
        <w:rPr>
          <w:rFonts w:hint="eastAsia" w:ascii="Times New Roman" w:hAnsi="Times New Roman"/>
          <w:bCs/>
          <w:sz w:val="20"/>
          <w:szCs w:val="20"/>
        </w:rPr>
        <w:t xml:space="preserve">07126, On </w:t>
      </w:r>
      <w:r>
        <w:rPr>
          <w:rFonts w:ascii="Times New Roman" w:hAnsi="Times New Roman"/>
          <w:bCs/>
          <w:sz w:val="20"/>
          <w:szCs w:val="20"/>
        </w:rPr>
        <w:t xml:space="preserve">Type I </w:t>
      </w:r>
      <w:r>
        <w:rPr>
          <w:rFonts w:hint="eastAsia" w:ascii="Times New Roman" w:hAnsi="Times New Roman"/>
          <w:bCs/>
          <w:sz w:val="20"/>
          <w:szCs w:val="20"/>
        </w:rPr>
        <w:t xml:space="preserve">CSI feedback details, </w:t>
      </w:r>
      <w:r>
        <w:rPr>
          <w:rFonts w:hint="eastAsia" w:ascii="Times New Roman" w:hAnsi="Times New Roman"/>
          <w:sz w:val="20"/>
          <w:szCs w:val="20"/>
        </w:rPr>
        <w:t>ZTE</w:t>
      </w:r>
    </w:p>
    <w:p>
      <w:pPr>
        <w:pStyle w:val="36"/>
        <w:adjustRightInd w:val="0"/>
        <w:snapToGrid w:val="0"/>
        <w:rPr>
          <w:rFonts w:ascii="Times New Roman" w:hAnsi="Times New Roman"/>
          <w:sz w:val="20"/>
          <w:szCs w:val="20"/>
        </w:rPr>
      </w:pPr>
      <w:r>
        <w:rPr>
          <w:rFonts w:hint="eastAsia" w:ascii="Times New Roman" w:hAnsi="Times New Roman"/>
          <w:sz w:val="20"/>
          <w:szCs w:val="20"/>
        </w:rPr>
        <w:t>[5] R1-1710188, Details of CSI acquisition, ZTE</w:t>
      </w:r>
    </w:p>
    <w:p>
      <w:pPr>
        <w:pStyle w:val="36"/>
        <w:adjustRightInd w:val="0"/>
        <w:snapToGrid w:val="0"/>
        <w:rPr>
          <w:rFonts w:ascii="Times New Roman" w:hAnsi="Times New Roman"/>
          <w:sz w:val="20"/>
          <w:szCs w:val="20"/>
        </w:rPr>
      </w:pPr>
      <w:r>
        <w:rPr>
          <w:rFonts w:hint="eastAsia" w:ascii="Times New Roman" w:hAnsi="Times New Roman"/>
          <w:sz w:val="20"/>
          <w:szCs w:val="20"/>
        </w:rPr>
        <w:t>[6] Chairman</w:t>
      </w:r>
      <w:r>
        <w:rPr>
          <w:rFonts w:ascii="Times New Roman" w:hAnsi="Times New Roman"/>
          <w:sz w:val="20"/>
          <w:szCs w:val="20"/>
        </w:rPr>
        <w:t>’</w:t>
      </w:r>
      <w:r>
        <w:rPr>
          <w:rFonts w:hint="eastAsia" w:ascii="Times New Roman" w:hAnsi="Times New Roman"/>
          <w:sz w:val="20"/>
          <w:szCs w:val="20"/>
        </w:rPr>
        <w:t>s notes, 3GPP RAN1 NR AdHoc #2</w:t>
      </w:r>
    </w:p>
    <w:p>
      <w:pPr>
        <w:pStyle w:val="36"/>
        <w:adjustRightInd w:val="0"/>
        <w:snapToGrid w:val="0"/>
        <w:rPr>
          <w:rFonts w:ascii="Times New Roman" w:hAnsi="Times New Roman"/>
          <w:sz w:val="20"/>
          <w:szCs w:val="20"/>
        </w:rPr>
      </w:pPr>
      <w:r>
        <w:rPr>
          <w:rFonts w:hint="eastAsia" w:ascii="Times New Roman" w:hAnsi="Times New Roman"/>
          <w:sz w:val="20"/>
          <w:szCs w:val="20"/>
        </w:rPr>
        <w:t>[7] R1-1715446, Discussion of UL beam management, ZTE, Sanechips</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 xml:space="preserve">Appendix </w:t>
      </w:r>
    </w:p>
    <w:tbl>
      <w:tblPr>
        <w:tblStyle w:val="21"/>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8"/>
        <w:gridCol w:w="6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
                <w:bCs/>
                <w:sz w:val="20"/>
                <w:szCs w:val="20"/>
              </w:rPr>
            </w:pPr>
            <w:r>
              <w:rPr>
                <w:rFonts w:ascii="Times New Roman" w:hAnsi="Times New Roman"/>
                <w:b/>
                <w:bCs/>
                <w:sz w:val="20"/>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Cellular Layout</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Hexagonal grid, 7 sites, 3 Macro cells per site, geographical based wrap</w:t>
            </w:r>
            <w:r>
              <w:rPr>
                <w:rFonts w:ascii="Times New Roman" w:hAnsi="Times New Roman"/>
                <w:bCs/>
                <w:sz w:val="20"/>
                <w:szCs w:val="20"/>
              </w:rPr>
              <w:noBreakHyphen/>
            </w:r>
            <w:r>
              <w:rPr>
                <w:rFonts w:ascii="Times New Roman" w:hAnsi="Times New Roman"/>
                <w:bCs/>
                <w:sz w:val="20"/>
                <w:szCs w:val="20"/>
              </w:rPr>
              <w:t>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Channel Model</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3D UMi ISD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3D UMI ISD 200: 41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Antenna configuration</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Transmitter: （</w:t>
            </w:r>
            <w:r>
              <w:rPr>
                <w:rFonts w:hint="eastAsia" w:ascii="Times New Roman" w:hAnsi="Times New Roman"/>
                <w:bCs/>
                <w:sz w:val="20"/>
                <w:szCs w:val="20"/>
              </w:rPr>
              <w:t>M,N</w:t>
            </w:r>
            <w:r>
              <w:rPr>
                <w:rFonts w:ascii="Times New Roman" w:hAnsi="Times New Roman"/>
                <w:bCs/>
                <w:sz w:val="20"/>
                <w:szCs w:val="20"/>
              </w:rPr>
              <w:t>,P,Q）=（</w:t>
            </w:r>
            <w:r>
              <w:rPr>
                <w:rFonts w:hint="eastAsia" w:ascii="Times New Roman" w:hAnsi="Times New Roman"/>
                <w:bCs/>
                <w:sz w:val="20"/>
                <w:szCs w:val="20"/>
              </w:rPr>
              <w:t>4,4,2,32</w:t>
            </w:r>
            <w:r>
              <w:rPr>
                <w:rFonts w:ascii="Times New Roman" w:hAnsi="Times New Roman"/>
                <w:bCs/>
                <w:sz w:val="20"/>
                <w:szCs w:val="20"/>
              </w:rPr>
              <w:t>）</w:t>
            </w:r>
          </w:p>
          <w:p>
            <w:pPr>
              <w:pStyle w:val="36"/>
              <w:spacing w:line="276" w:lineRule="auto"/>
              <w:rPr>
                <w:rFonts w:ascii="Times New Roman" w:hAnsi="Times New Roman"/>
                <w:bCs/>
                <w:sz w:val="20"/>
                <w:szCs w:val="20"/>
              </w:rPr>
            </w:pPr>
            <w:r>
              <w:rPr>
                <w:rFonts w:ascii="Times New Roman" w:hAnsi="Times New Roman"/>
                <w:bCs/>
                <w:sz w:val="20"/>
                <w:szCs w:val="20"/>
              </w:rPr>
              <w:t>Receiver: 2Rx cross-polarized antenna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CQI/PMI reporting interval and frequency granularity</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hint="eastAsia" w:ascii="Times New Roman" w:hAnsi="Times New Roman"/>
                <w:bCs/>
                <w:sz w:val="20"/>
                <w:szCs w:val="20"/>
              </w:rPr>
              <w:t>Single CSI-RS: 5ms for Class A CSI,6RB</w:t>
            </w:r>
          </w:p>
          <w:p>
            <w:pPr>
              <w:pStyle w:val="36"/>
              <w:spacing w:line="276" w:lineRule="auto"/>
              <w:rPr>
                <w:rFonts w:ascii="Times New Roman" w:hAnsi="Times New Roman"/>
                <w:bCs/>
                <w:sz w:val="20"/>
                <w:szCs w:val="20"/>
              </w:rPr>
            </w:pPr>
            <w:r>
              <w:rPr>
                <w:rFonts w:hint="eastAsia" w:ascii="Times New Roman" w:hAnsi="Times New Roman"/>
                <w:bCs/>
                <w:sz w:val="20"/>
                <w:szCs w:val="20"/>
              </w:rPr>
              <w:t>Hybrid CSI :T1=5~20ms for Class A CSI, WB</w:t>
            </w:r>
          </w:p>
          <w:p>
            <w:pPr>
              <w:pStyle w:val="36"/>
              <w:spacing w:line="276" w:lineRule="auto"/>
              <w:rPr>
                <w:rFonts w:ascii="Times New Roman" w:hAnsi="Times New Roman"/>
                <w:bCs/>
                <w:sz w:val="20"/>
                <w:szCs w:val="20"/>
              </w:rPr>
            </w:pPr>
            <w:r>
              <w:rPr>
                <w:rFonts w:hint="eastAsia" w:ascii="Times New Roman" w:hAnsi="Times New Roman"/>
                <w:bCs/>
                <w:sz w:val="20"/>
                <w:szCs w:val="20"/>
              </w:rPr>
              <w:t xml:space="preserve">                 T2=</w:t>
            </w:r>
            <w:r>
              <w:rPr>
                <w:rFonts w:ascii="Times New Roman" w:hAnsi="Times New Roman"/>
                <w:bCs/>
                <w:sz w:val="20"/>
                <w:szCs w:val="20"/>
              </w:rPr>
              <w:t xml:space="preserve">5ms for </w:t>
            </w:r>
            <w:r>
              <w:rPr>
                <w:rFonts w:hint="eastAsia" w:ascii="Times New Roman" w:hAnsi="Times New Roman"/>
                <w:bCs/>
                <w:sz w:val="20"/>
                <w:szCs w:val="20"/>
              </w:rPr>
              <w:t xml:space="preserve">Class B </w:t>
            </w:r>
            <w:r>
              <w:rPr>
                <w:rFonts w:ascii="Times New Roman" w:hAnsi="Times New Roman"/>
                <w:bCs/>
                <w:sz w:val="20"/>
                <w:szCs w:val="20"/>
              </w:rPr>
              <w:t>CSI, 6RB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 xml:space="preserve">PUSCH mode 3-2, </w:t>
            </w:r>
          </w:p>
          <w:p>
            <w:pPr>
              <w:pStyle w:val="36"/>
              <w:spacing w:line="276" w:lineRule="auto"/>
              <w:rPr>
                <w:rFonts w:ascii="Times New Roman" w:hAnsi="Times New Roman"/>
                <w:bCs/>
                <w:sz w:val="20"/>
                <w:szCs w:val="20"/>
              </w:rPr>
            </w:pPr>
            <w:r>
              <w:rPr>
                <w:rFonts w:ascii="Times New Roman" w:hAnsi="Times New Roman"/>
                <w:bCs/>
                <w:sz w:val="20"/>
                <w:szCs w:val="20"/>
              </w:rPr>
              <w:t>PMI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Delay for scheduling and AMC</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6ms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Proportional Fair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 xml:space="preserve">MMSE-IRC </w:t>
            </w:r>
          </w:p>
          <w:p>
            <w:pPr>
              <w:pStyle w:val="36"/>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pPr>
              <w:pStyle w:val="36"/>
              <w:spacing w:line="276" w:lineRule="auto"/>
              <w:rPr>
                <w:rFonts w:ascii="Times New Roman" w:hAnsi="Times New Roman"/>
                <w:bCs/>
                <w:sz w:val="20"/>
                <w:szCs w:val="20"/>
              </w:rPr>
            </w:pPr>
            <w:r>
              <w:rPr>
                <w:rFonts w:ascii="Times New Roman" w:hAnsi="Times New Roman"/>
                <w:bCs/>
                <w:sz w:val="20"/>
                <w:szCs w:val="20"/>
              </w:rPr>
              <w:t>(Model in TR36.829 with DMRS based sample covariance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Chase Combining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rPr>
            </w:pPr>
            <w:r>
              <w:rPr>
                <w:rFonts w:ascii="Times New Roman" w:hAnsi="Times New Roman"/>
                <w:bCs/>
                <w:sz w:val="20"/>
                <w:szCs w:val="20"/>
              </w:rPr>
              <w:t>Traffic model</w:t>
            </w:r>
          </w:p>
        </w:tc>
        <w:tc>
          <w:tcPr>
            <w:tcW w:w="636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rPr>
            </w:pPr>
            <w:r>
              <w:rPr>
                <w:rFonts w:ascii="Times New Roman" w:hAnsi="Times New Roman"/>
                <w:bCs/>
                <w:sz w:val="20"/>
                <w:szCs w:val="20"/>
              </w:rPr>
              <w:t>FTP1 model with 0.5Mbyte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320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color="auto" w:sz="4" w:space="0"/>
              <w:left w:val="single" w:color="auto" w:sz="4" w:space="0"/>
              <w:bottom w:val="single" w:color="auto" w:sz="4" w:space="0"/>
              <w:right w:val="single" w:color="auto" w:sz="4" w:space="0"/>
            </w:tcBorders>
            <w:vAlign w:val="center"/>
          </w:tcPr>
          <w:p>
            <w:pPr>
              <w:pStyle w:val="36"/>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pPr>
              <w:pStyle w:val="36"/>
              <w:spacing w:line="276" w:lineRule="auto"/>
              <w:rPr>
                <w:rFonts w:ascii="Times New Roman" w:hAnsi="Times New Roman"/>
                <w:bCs/>
                <w:sz w:val="20"/>
                <w:szCs w:val="20"/>
              </w:rPr>
            </w:pPr>
            <w:r>
              <w:rPr>
                <w:rFonts w:ascii="Times New Roman" w:hAnsi="Times New Roman"/>
                <w:bCs/>
                <w:sz w:val="20"/>
                <w:szCs w:val="20"/>
              </w:rPr>
              <w:object>
                <v:shape id="_x0000_i1030" o:spt="75" type="#_x0000_t75" style="height:16.6pt;width:60.9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rPr>
                <w:rFonts w:ascii="Times New Roman" w:hAnsi="Times New Roman"/>
                <w:bCs/>
                <w:sz w:val="20"/>
                <w:szCs w:val="20"/>
              </w:rPr>
              <w:t xml:space="preserve">is used, </w:t>
            </w:r>
          </w:p>
          <w:p>
            <w:pPr>
              <w:pStyle w:val="36"/>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0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rPr>
            </w:pPr>
            <w:r>
              <w:rPr>
                <w:rFonts w:ascii="Times New Roman" w:hAnsi="Times New Roman"/>
                <w:bCs/>
                <w:sz w:val="20"/>
                <w:szCs w:val="20"/>
              </w:rPr>
              <w:t xml:space="preserve">Handover margin </w:t>
            </w:r>
          </w:p>
        </w:tc>
        <w:tc>
          <w:tcPr>
            <w:tcW w:w="6368" w:type="dxa"/>
            <w:tcBorders>
              <w:top w:val="single" w:color="auto" w:sz="4" w:space="0"/>
              <w:left w:val="single" w:color="auto" w:sz="4" w:space="0"/>
              <w:bottom w:val="single" w:color="auto" w:sz="4" w:space="0"/>
              <w:right w:val="single" w:color="auto" w:sz="4" w:space="0"/>
            </w:tcBorders>
          </w:tcPr>
          <w:p>
            <w:pPr>
              <w:pStyle w:val="36"/>
              <w:spacing w:line="276" w:lineRule="auto"/>
              <w:rPr>
                <w:rFonts w:ascii="Times New Roman" w:hAnsi="Times New Roman"/>
                <w:bCs/>
                <w:sz w:val="20"/>
                <w:szCs w:val="20"/>
              </w:rPr>
            </w:pPr>
            <w:r>
              <w:rPr>
                <w:rFonts w:ascii="Times New Roman" w:hAnsi="Times New Roman"/>
                <w:bCs/>
                <w:sz w:val="20"/>
                <w:szCs w:val="20"/>
              </w:rPr>
              <w:t xml:space="preserve">3dB </w:t>
            </w:r>
          </w:p>
        </w:tc>
      </w:tr>
    </w:tbl>
    <w:p>
      <w:pPr>
        <w:pStyle w:val="36"/>
        <w:spacing w:line="276" w:lineRule="auto"/>
        <w:rPr>
          <w:rFonts w:ascii="Times New Roman" w:hAnsi="Times New Roman"/>
          <w:b/>
          <w:bCs/>
        </w:rPr>
      </w:pP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0000000000000000000"/>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Yu Mincho">
    <w:altName w:val="MS P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20451"/>
    <w:multiLevelType w:val="multilevel"/>
    <w:tmpl w:val="24520451"/>
    <w:lvl w:ilvl="0" w:tentative="0">
      <w:start w:val="1"/>
      <w:numFmt w:val="bullet"/>
      <w:lvlText w:val="•"/>
      <w:lvlJc w:val="left"/>
      <w:pPr>
        <w:tabs>
          <w:tab w:val="left" w:pos="720"/>
        </w:tabs>
        <w:ind w:left="720" w:hanging="360"/>
      </w:pPr>
      <w:rPr>
        <w:rFonts w:hint="default" w:ascii="Arial" w:hAnsi="Arial"/>
      </w:rPr>
    </w:lvl>
    <w:lvl w:ilvl="1" w:tentative="0">
      <w:start w:val="65"/>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7DF2BC6"/>
    <w:multiLevelType w:val="multilevel"/>
    <w:tmpl w:val="37DF2B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642F24A5"/>
    <w:multiLevelType w:val="multilevel"/>
    <w:tmpl w:val="642F24A5"/>
    <w:lvl w:ilvl="0" w:tentative="0">
      <w:start w:val="1"/>
      <w:numFmt w:val="bullet"/>
      <w:lvlText w:val="•"/>
      <w:lvlJc w:val="left"/>
      <w:pPr>
        <w:tabs>
          <w:tab w:val="left" w:pos="720"/>
        </w:tabs>
        <w:ind w:left="720" w:hanging="360"/>
      </w:pPr>
      <w:rPr>
        <w:rFonts w:hint="default" w:ascii="Arial" w:hAnsi="Arial"/>
      </w:rPr>
    </w:lvl>
    <w:lvl w:ilvl="1" w:tentative="0">
      <w:start w:val="1"/>
      <w:numFmt w:val="decimal"/>
      <w:lvlText w:val="%2."/>
      <w:lvlJc w:val="left"/>
      <w:pPr>
        <w:tabs>
          <w:tab w:val="left" w:pos="1440"/>
        </w:tabs>
        <w:ind w:left="1440" w:hanging="360"/>
      </w:pPr>
      <w:rPr>
        <w:rFonts w:ascii="Times New Roman" w:hAnsi="Times New Roman" w:cs="Times New Roman" w:eastAsiaTheme="minorEastAsia"/>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9">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2"/>
  </w:num>
  <w:num w:numId="3">
    <w:abstractNumId w:val="7"/>
  </w:num>
  <w:num w:numId="4">
    <w:abstractNumId w:val="1"/>
  </w:num>
  <w:num w:numId="5">
    <w:abstractNumId w:val="4"/>
  </w:num>
  <w:num w:numId="6">
    <w:abstractNumId w:val="8"/>
  </w:num>
  <w:num w:numId="7">
    <w:abstractNumId w:val="5"/>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35"/>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7AA"/>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15B6"/>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4C2B"/>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4D37"/>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1A7"/>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09"/>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6BD"/>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37D98"/>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4F0A"/>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5C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400"/>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326"/>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27E0"/>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D9E"/>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0032"/>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74C30"/>
    <w:rsid w:val="01D90B85"/>
    <w:rsid w:val="02402A28"/>
    <w:rsid w:val="02534951"/>
    <w:rsid w:val="028127C7"/>
    <w:rsid w:val="031A1DF0"/>
    <w:rsid w:val="04785520"/>
    <w:rsid w:val="054509CF"/>
    <w:rsid w:val="06156F0F"/>
    <w:rsid w:val="068B3B24"/>
    <w:rsid w:val="06F022C8"/>
    <w:rsid w:val="07A93AD6"/>
    <w:rsid w:val="08383F35"/>
    <w:rsid w:val="0880383A"/>
    <w:rsid w:val="08DA4C97"/>
    <w:rsid w:val="090A383A"/>
    <w:rsid w:val="091C209D"/>
    <w:rsid w:val="0955700D"/>
    <w:rsid w:val="09A7113E"/>
    <w:rsid w:val="0A1C24B8"/>
    <w:rsid w:val="0A46417B"/>
    <w:rsid w:val="0AEB5112"/>
    <w:rsid w:val="0B273CCA"/>
    <w:rsid w:val="0C65102D"/>
    <w:rsid w:val="0CF66167"/>
    <w:rsid w:val="0D0F433D"/>
    <w:rsid w:val="0D5C6ECF"/>
    <w:rsid w:val="0E1F4270"/>
    <w:rsid w:val="0F2D100F"/>
    <w:rsid w:val="0F39539E"/>
    <w:rsid w:val="0F565CA8"/>
    <w:rsid w:val="10307036"/>
    <w:rsid w:val="105B1971"/>
    <w:rsid w:val="10F52F62"/>
    <w:rsid w:val="119F5CDD"/>
    <w:rsid w:val="12DB5F60"/>
    <w:rsid w:val="138D0B43"/>
    <w:rsid w:val="139D4335"/>
    <w:rsid w:val="16252EE1"/>
    <w:rsid w:val="16C77B03"/>
    <w:rsid w:val="16E15867"/>
    <w:rsid w:val="176B7560"/>
    <w:rsid w:val="18447766"/>
    <w:rsid w:val="18F26F87"/>
    <w:rsid w:val="196A7176"/>
    <w:rsid w:val="1AE43074"/>
    <w:rsid w:val="1AE503F6"/>
    <w:rsid w:val="1BED1EA4"/>
    <w:rsid w:val="1D316731"/>
    <w:rsid w:val="1D7E2627"/>
    <w:rsid w:val="1E340452"/>
    <w:rsid w:val="1EA21736"/>
    <w:rsid w:val="1ED412AE"/>
    <w:rsid w:val="20A26F6F"/>
    <w:rsid w:val="20DF1627"/>
    <w:rsid w:val="218158AE"/>
    <w:rsid w:val="218A3F8F"/>
    <w:rsid w:val="22603924"/>
    <w:rsid w:val="23504E6C"/>
    <w:rsid w:val="23C866C9"/>
    <w:rsid w:val="23CE0783"/>
    <w:rsid w:val="24670E0B"/>
    <w:rsid w:val="246A535C"/>
    <w:rsid w:val="24934939"/>
    <w:rsid w:val="24A90935"/>
    <w:rsid w:val="25BC04D5"/>
    <w:rsid w:val="25C12780"/>
    <w:rsid w:val="264E19B9"/>
    <w:rsid w:val="26E52AF1"/>
    <w:rsid w:val="27462EBA"/>
    <w:rsid w:val="275E10A5"/>
    <w:rsid w:val="2760795F"/>
    <w:rsid w:val="278961F0"/>
    <w:rsid w:val="27C31562"/>
    <w:rsid w:val="28AD6200"/>
    <w:rsid w:val="2A126499"/>
    <w:rsid w:val="2A156277"/>
    <w:rsid w:val="2A3E2544"/>
    <w:rsid w:val="2A54355B"/>
    <w:rsid w:val="2A6903E8"/>
    <w:rsid w:val="2B306684"/>
    <w:rsid w:val="2C40144C"/>
    <w:rsid w:val="2D725621"/>
    <w:rsid w:val="2E97214D"/>
    <w:rsid w:val="2F335C39"/>
    <w:rsid w:val="2F5C1EA1"/>
    <w:rsid w:val="2FDE0219"/>
    <w:rsid w:val="300D7397"/>
    <w:rsid w:val="303A1290"/>
    <w:rsid w:val="305E7AA3"/>
    <w:rsid w:val="312D7469"/>
    <w:rsid w:val="318035E0"/>
    <w:rsid w:val="318B4869"/>
    <w:rsid w:val="321800E9"/>
    <w:rsid w:val="323E1843"/>
    <w:rsid w:val="325241F4"/>
    <w:rsid w:val="32F14BBB"/>
    <w:rsid w:val="3318379E"/>
    <w:rsid w:val="33883516"/>
    <w:rsid w:val="342139CF"/>
    <w:rsid w:val="3451280C"/>
    <w:rsid w:val="35340191"/>
    <w:rsid w:val="35F17CA3"/>
    <w:rsid w:val="360D4CAB"/>
    <w:rsid w:val="367F6338"/>
    <w:rsid w:val="36A56459"/>
    <w:rsid w:val="376F5D7B"/>
    <w:rsid w:val="37B63C30"/>
    <w:rsid w:val="3816745A"/>
    <w:rsid w:val="39140B17"/>
    <w:rsid w:val="39E77547"/>
    <w:rsid w:val="3A2D117F"/>
    <w:rsid w:val="3A8A4A84"/>
    <w:rsid w:val="3B3014F5"/>
    <w:rsid w:val="3CF05605"/>
    <w:rsid w:val="3E2F1521"/>
    <w:rsid w:val="3EC50F29"/>
    <w:rsid w:val="3F056DBA"/>
    <w:rsid w:val="3F5C5239"/>
    <w:rsid w:val="3FE20E72"/>
    <w:rsid w:val="40635DFF"/>
    <w:rsid w:val="4136482B"/>
    <w:rsid w:val="41C92F5A"/>
    <w:rsid w:val="41FA3BA4"/>
    <w:rsid w:val="42BA6933"/>
    <w:rsid w:val="43742CA4"/>
    <w:rsid w:val="44BF4FA4"/>
    <w:rsid w:val="45187153"/>
    <w:rsid w:val="45B56DAA"/>
    <w:rsid w:val="46215288"/>
    <w:rsid w:val="46C40C7D"/>
    <w:rsid w:val="476232C5"/>
    <w:rsid w:val="477218FC"/>
    <w:rsid w:val="48B806A7"/>
    <w:rsid w:val="49073265"/>
    <w:rsid w:val="49567BB6"/>
    <w:rsid w:val="49DE7A81"/>
    <w:rsid w:val="49F57167"/>
    <w:rsid w:val="49FA6BAE"/>
    <w:rsid w:val="4A5B2F33"/>
    <w:rsid w:val="4AEE5151"/>
    <w:rsid w:val="4B9810BA"/>
    <w:rsid w:val="4C0034BB"/>
    <w:rsid w:val="4C290455"/>
    <w:rsid w:val="4D356F9C"/>
    <w:rsid w:val="4DAF23F4"/>
    <w:rsid w:val="4E182F16"/>
    <w:rsid w:val="4E3B104B"/>
    <w:rsid w:val="4E8A5B73"/>
    <w:rsid w:val="4F661338"/>
    <w:rsid w:val="505051C9"/>
    <w:rsid w:val="5100674F"/>
    <w:rsid w:val="51332C32"/>
    <w:rsid w:val="51DB579F"/>
    <w:rsid w:val="521840BB"/>
    <w:rsid w:val="523D3F3F"/>
    <w:rsid w:val="52521B05"/>
    <w:rsid w:val="527D3408"/>
    <w:rsid w:val="53331524"/>
    <w:rsid w:val="53374E70"/>
    <w:rsid w:val="53582014"/>
    <w:rsid w:val="538053D4"/>
    <w:rsid w:val="53BC2FBC"/>
    <w:rsid w:val="53D26BD3"/>
    <w:rsid w:val="53F065B5"/>
    <w:rsid w:val="548D1519"/>
    <w:rsid w:val="54A1641F"/>
    <w:rsid w:val="54F4680F"/>
    <w:rsid w:val="55015CC2"/>
    <w:rsid w:val="552F5186"/>
    <w:rsid w:val="55D62EAF"/>
    <w:rsid w:val="56BD14FF"/>
    <w:rsid w:val="56DA44C3"/>
    <w:rsid w:val="56DB379B"/>
    <w:rsid w:val="58D3743A"/>
    <w:rsid w:val="58DE2E60"/>
    <w:rsid w:val="59BC5A17"/>
    <w:rsid w:val="5AA5365F"/>
    <w:rsid w:val="5BD3715C"/>
    <w:rsid w:val="5CAB466F"/>
    <w:rsid w:val="5CC94690"/>
    <w:rsid w:val="5D0E669E"/>
    <w:rsid w:val="5D1443D4"/>
    <w:rsid w:val="5D4E5048"/>
    <w:rsid w:val="5D8F5DFC"/>
    <w:rsid w:val="5D9825EF"/>
    <w:rsid w:val="5DB41A71"/>
    <w:rsid w:val="5DFC6EC6"/>
    <w:rsid w:val="5E950FE3"/>
    <w:rsid w:val="5F7E6D2D"/>
    <w:rsid w:val="60312769"/>
    <w:rsid w:val="60833B21"/>
    <w:rsid w:val="61C079B1"/>
    <w:rsid w:val="61F303E0"/>
    <w:rsid w:val="628A094C"/>
    <w:rsid w:val="62E85A4B"/>
    <w:rsid w:val="63C51910"/>
    <w:rsid w:val="63C62403"/>
    <w:rsid w:val="63D9346B"/>
    <w:rsid w:val="63E00FCE"/>
    <w:rsid w:val="641125A2"/>
    <w:rsid w:val="65CF0C15"/>
    <w:rsid w:val="65E06B74"/>
    <w:rsid w:val="66635D41"/>
    <w:rsid w:val="66A22A15"/>
    <w:rsid w:val="677739D9"/>
    <w:rsid w:val="67890206"/>
    <w:rsid w:val="6882487C"/>
    <w:rsid w:val="68F1303E"/>
    <w:rsid w:val="690D00FE"/>
    <w:rsid w:val="6A0D76F7"/>
    <w:rsid w:val="6A7E614C"/>
    <w:rsid w:val="6F437187"/>
    <w:rsid w:val="6FE909B2"/>
    <w:rsid w:val="6FF8655C"/>
    <w:rsid w:val="70236072"/>
    <w:rsid w:val="703D7C19"/>
    <w:rsid w:val="70BF0C03"/>
    <w:rsid w:val="71051875"/>
    <w:rsid w:val="71736FCA"/>
    <w:rsid w:val="72A845E8"/>
    <w:rsid w:val="73BF36CC"/>
    <w:rsid w:val="741E0C8D"/>
    <w:rsid w:val="743B3C37"/>
    <w:rsid w:val="745B149B"/>
    <w:rsid w:val="74E74418"/>
    <w:rsid w:val="75B767AF"/>
    <w:rsid w:val="761E2395"/>
    <w:rsid w:val="7643165D"/>
    <w:rsid w:val="76770E83"/>
    <w:rsid w:val="76803E00"/>
    <w:rsid w:val="76E00F84"/>
    <w:rsid w:val="775175E4"/>
    <w:rsid w:val="787958D6"/>
    <w:rsid w:val="78CF1A9C"/>
    <w:rsid w:val="78EB3376"/>
    <w:rsid w:val="791B4ABA"/>
    <w:rsid w:val="79272A46"/>
    <w:rsid w:val="7A5C71E9"/>
    <w:rsid w:val="7A6B40C8"/>
    <w:rsid w:val="7AA37D10"/>
    <w:rsid w:val="7AC3029A"/>
    <w:rsid w:val="7ADA644E"/>
    <w:rsid w:val="7B1921E0"/>
    <w:rsid w:val="7B49030C"/>
    <w:rsid w:val="7EC27833"/>
    <w:rsid w:val="7EE10E81"/>
    <w:rsid w:val="7FF77D03"/>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4">
    <w:name w:val="heading 3"/>
    <w:basedOn w:val="1"/>
    <w:next w:val="1"/>
    <w:link w:val="39"/>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28"/>
    <w:unhideWhenUsed/>
    <w:qFormat/>
    <w:uiPriority w:val="0"/>
    <w:pPr>
      <w:spacing w:after="0"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Heading 1 Char"/>
    <w:link w:val="2"/>
    <w:qFormat/>
    <w:uiPriority w:val="99"/>
    <w:rPr>
      <w:rFonts w:ascii="Arial" w:hAnsi="Arial" w:eastAsia="黑体"/>
      <w:b/>
      <w:bCs/>
      <w:sz w:val="30"/>
      <w:szCs w:val="30"/>
      <w:lang w:val="zh-CN"/>
    </w:rPr>
  </w:style>
  <w:style w:type="character" w:customStyle="1" w:styleId="24">
    <w:name w:val="Header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Comment Text Char"/>
    <w:basedOn w:val="17"/>
    <w:link w:val="8"/>
    <w:qFormat/>
    <w:uiPriority w:val="0"/>
  </w:style>
  <w:style w:type="character" w:customStyle="1" w:styleId="27">
    <w:name w:val="Comment Subject Char"/>
    <w:link w:val="7"/>
    <w:qFormat/>
    <w:uiPriority w:val="0"/>
    <w:rPr>
      <w:b/>
      <w:bCs/>
    </w:rPr>
  </w:style>
  <w:style w:type="character" w:customStyle="1" w:styleId="28">
    <w:name w:val="Balloon Text Char"/>
    <w:link w:val="13"/>
    <w:qFormat/>
    <w:uiPriority w:val="0"/>
    <w:rPr>
      <w:rFonts w:ascii="Tahoma" w:hAnsi="Tahoma" w:cs="Tahoma"/>
      <w:sz w:val="16"/>
      <w:szCs w:val="16"/>
    </w:rPr>
  </w:style>
  <w:style w:type="character" w:customStyle="1" w:styleId="29">
    <w:name w:val="Document Map Char"/>
    <w:link w:val="11"/>
    <w:qFormat/>
    <w:uiPriority w:val="0"/>
    <w:rPr>
      <w:rFonts w:ascii="宋体"/>
      <w:sz w:val="18"/>
      <w:szCs w:val="18"/>
    </w:rPr>
  </w:style>
  <w:style w:type="character" w:customStyle="1" w:styleId="30">
    <w:name w:val="Body Text Char"/>
    <w:link w:val="12"/>
    <w:qFormat/>
    <w:uiPriority w:val="0"/>
    <w:rPr>
      <w:rFonts w:ascii="Times New Roman" w:hAnsi="Times New Roman"/>
      <w:color w:val="0000FF"/>
      <w:kern w:val="2"/>
      <w:sz w:val="21"/>
    </w:rPr>
  </w:style>
  <w:style w:type="character" w:customStyle="1" w:styleId="31">
    <w:name w:val="Caption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1"/>
    <w:link w:val="35"/>
    <w:qFormat/>
    <w:uiPriority w:val="0"/>
    <w:pPr>
      <w:keepNext/>
      <w:keepLines/>
      <w:overflowPunct w:val="0"/>
      <w:autoSpaceDE w:val="0"/>
      <w:autoSpaceDN w:val="0"/>
      <w:adjustRightInd w:val="0"/>
      <w:spacing w:after="0" w:line="240" w:lineRule="auto"/>
      <w:jc w:val="center"/>
      <w:textAlignment w:val="baseline"/>
    </w:pPr>
    <w:rPr>
      <w:rFonts w:ascii="Arial" w:hAnsi="Arial" w:eastAsia="Times New Roman"/>
      <w:sz w:val="18"/>
      <w:szCs w:val="20"/>
      <w:lang w:val="en-GB" w:eastAsia="en-GB"/>
    </w:rPr>
  </w:style>
  <w:style w:type="character" w:customStyle="1" w:styleId="35">
    <w:name w:val="TAC Char"/>
    <w:link w:val="34"/>
    <w:qFormat/>
    <w:uiPriority w:val="0"/>
    <w:rPr>
      <w:rFonts w:ascii="Arial" w:hAnsi="Arial" w:eastAsia="Times New Roman"/>
      <w:sz w:val="18"/>
      <w:lang w:val="en-GB" w:eastAsia="en-GB"/>
    </w:rPr>
  </w:style>
  <w:style w:type="paragraph" w:customStyle="1" w:styleId="36">
    <w:name w:val="无间隔1"/>
    <w:qFormat/>
    <w:uiPriority w:val="1"/>
    <w:rPr>
      <w:rFonts w:ascii="Calibri" w:hAnsi="Calibri" w:eastAsia="宋体" w:cs="Times New Roman"/>
      <w:sz w:val="22"/>
      <w:szCs w:val="22"/>
      <w:lang w:val="en-US" w:eastAsia="zh-CN" w:bidi="ar-SA"/>
    </w:rPr>
  </w:style>
  <w:style w:type="character" w:customStyle="1" w:styleId="37">
    <w:name w:val="word"/>
    <w:basedOn w:val="17"/>
    <w:qFormat/>
    <w:uiPriority w:val="0"/>
  </w:style>
  <w:style w:type="paragraph" w:customStyle="1" w:styleId="38">
    <w:name w:val="列出段落1"/>
    <w:basedOn w:val="1"/>
    <w:qFormat/>
    <w:uiPriority w:val="99"/>
    <w:pPr>
      <w:widowControl w:val="0"/>
      <w:spacing w:after="0" w:line="240" w:lineRule="auto"/>
      <w:ind w:firstLine="420" w:firstLineChars="200"/>
      <w:jc w:val="both"/>
    </w:pPr>
    <w:rPr>
      <w:kern w:val="2"/>
      <w:sz w:val="21"/>
    </w:rPr>
  </w:style>
  <w:style w:type="character" w:customStyle="1" w:styleId="39">
    <w:name w:val="Heading 3 Char"/>
    <w:link w:val="4"/>
    <w:qFormat/>
    <w:uiPriority w:val="0"/>
    <w:rPr>
      <w:b/>
      <w:bCs/>
      <w:sz w:val="32"/>
      <w:szCs w:val="32"/>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List Paragraph1"/>
    <w:basedOn w:val="1"/>
    <w:qFormat/>
    <w:uiPriority w:val="34"/>
    <w:pPr>
      <w:widowControl w:val="0"/>
      <w:spacing w:after="0" w:line="240" w:lineRule="auto"/>
      <w:ind w:firstLine="420" w:firstLineChars="200"/>
      <w:jc w:val="both"/>
    </w:pPr>
    <w:rPr>
      <w:kern w:val="2"/>
      <w:sz w:val="21"/>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paragraph" w:customStyle="1" w:styleId="43">
    <w:name w:val="TH"/>
    <w:basedOn w:val="1"/>
    <w:link w:val="44"/>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after="120" w:line="336" w:lineRule="auto"/>
      <w:ind w:firstLine="397"/>
      <w:jc w:val="both"/>
    </w:pPr>
    <w:rPr>
      <w:rFonts w:ascii="Times New Roman" w:hAnsi="Times New Roman" w:eastAsia="Malgun Gothic"/>
      <w:sz w:val="20"/>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paragraph" w:customStyle="1" w:styleId="49">
    <w:name w:val="PaperTableCell"/>
    <w:basedOn w:val="1"/>
    <w:qFormat/>
    <w:uiPriority w:val="0"/>
    <w:pPr>
      <w:spacing w:after="0" w:line="240" w:lineRule="auto"/>
      <w:jc w:val="both"/>
    </w:pPr>
    <w:rPr>
      <w:rFonts w:ascii="Times New Roman" w:hAnsi="Times New Roman"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Heading 2 Char"/>
    <w:basedOn w:val="17"/>
    <w:link w:val="3"/>
    <w:qFormat/>
    <w:uiPriority w:val="0"/>
    <w:rPr>
      <w:rFonts w:ascii="Times New Roman" w:hAnsi="Times New Roman"/>
      <w:i/>
      <w:iCs/>
      <w:lang w:eastAsia="en-US"/>
    </w:rPr>
  </w:style>
  <w:style w:type="character" w:customStyle="1" w:styleId="54">
    <w:name w:val="Heading 4 Char"/>
    <w:basedOn w:val="17"/>
    <w:link w:val="5"/>
    <w:qFormat/>
    <w:uiPriority w:val="0"/>
    <w:rPr>
      <w:rFonts w:ascii="Times New Roman" w:hAnsi="Times New Roman"/>
      <w:i/>
      <w:iCs/>
      <w:lang w:eastAsia="en-US"/>
    </w:rPr>
  </w:style>
  <w:style w:type="character" w:customStyle="1" w:styleId="55">
    <w:name w:val="Heading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after="0" w:line="240" w:lineRule="auto"/>
      <w:jc w:val="center"/>
    </w:pPr>
    <w:rPr>
      <w:rFonts w:ascii="Times New Roman" w:hAnsi="Times New Roman"/>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Footer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after="0"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스타일 스타일 스타일 스타일 양쪽 첫 줄:  2 글자 + 첫 줄:  2 글자 + 첫 줄:  2 글자 + 첫 줄:  2..."/>
    <w:basedOn w:val="1"/>
    <w:link w:val="83"/>
    <w:qFormat/>
    <w:uiPriority w:val="0"/>
    <w:pPr>
      <w:spacing w:after="180" w:line="336" w:lineRule="auto"/>
      <w:ind w:firstLine="200" w:firstLineChars="200"/>
      <w:jc w:val="both"/>
    </w:pPr>
    <w:rPr>
      <w:rFonts w:ascii="Times New Roman" w:hAnsi="Times New Roman" w:eastAsia="Malgun Gothic"/>
      <w:sz w:val="20"/>
      <w:szCs w:val="20"/>
      <w:lang w:val="en-GB" w:eastAsia="en-US"/>
    </w:rPr>
  </w:style>
  <w:style w:type="character" w:customStyle="1" w:styleId="83">
    <w:name w:val="스타일 스타일 스타일 스타일 양쪽 첫 줄:  2 글자 + 첫 줄:  2 글자 + 첫 줄:  2 글자 + 첫 줄:  2... Char"/>
    <w:link w:val="82"/>
    <w:qFormat/>
    <w:uiPriority w:val="0"/>
    <w:rPr>
      <w:rFonts w:ascii="Times New Roman" w:hAnsi="Times New Roman" w:eastAsia="Malgun Gothic"/>
      <w:lang w:val="en-GB" w:eastAsia="en-US"/>
    </w:rPr>
  </w:style>
  <w:style w:type="paragraph" w:customStyle="1" w:styleId="84">
    <w:name w:val="列出段落2"/>
    <w:basedOn w:val="1"/>
    <w:unhideWhenUsed/>
    <w:qFormat/>
    <w:uiPriority w:val="99"/>
    <w:pPr>
      <w:ind w:firstLine="420" w:firstLineChars="200"/>
    </w:pPr>
  </w:style>
  <w:style w:type="paragraph" w:customStyle="1" w:styleId="85">
    <w:name w:val="_Style 1"/>
    <w:basedOn w:val="1"/>
    <w:qFormat/>
    <w:uiPriority w:val="34"/>
    <w:pPr>
      <w:ind w:left="840" w:leftChars="400"/>
    </w:pPr>
  </w:style>
  <w:style w:type="paragraph" w:customStyle="1" w:styleId="86">
    <w:name w:val="List Paragraph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97F841-5AD5-BD44-915A-C28BBA8773CD}">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9</Pages>
  <Words>3683</Words>
  <Characters>20998</Characters>
  <Lines>174</Lines>
  <Paragraphs>49</Paragraphs>
  <ScaleCrop>false</ScaleCrop>
  <LinksUpToDate>false</LinksUpToDate>
  <CharactersWithSpaces>24632</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2017-09-12T05:15:00Z</dcterms:created>
  <dc:creator>ZTE</dc:creator>
  <cp:lastModifiedBy>Hao Wu</cp:lastModifiedBy>
  <dcterms:modified xsi:type="dcterms:W3CDTF">2017-11-13T03:31:01Z</dcterms:modified>
  <dc:title>3GPP TSG-RAN WG1 #70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